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1A4" w:rsidRPr="007073BE" w:rsidRDefault="00A131A4" w:rsidP="00A131A4">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131A4" w:rsidRPr="0069723B" w:rsidTr="00D13B13">
        <w:trPr>
          <w:trHeight w:val="348"/>
        </w:trPr>
        <w:tc>
          <w:tcPr>
            <w:tcW w:w="9540" w:type="dxa"/>
            <w:shd w:val="clear" w:color="auto" w:fill="252593"/>
            <w:vAlign w:val="center"/>
          </w:tcPr>
          <w:p w:rsidR="00A131A4" w:rsidRPr="0069723B" w:rsidRDefault="00A131A4" w:rsidP="00D13B13">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Pr>
                <w:bCs/>
                <w:sz w:val="24"/>
                <w:szCs w:val="24"/>
                <w:u w:val="single"/>
              </w:rPr>
              <w:fldChar w:fldCharType="begin">
                <w:ffData>
                  <w:name w:val=""/>
                  <w:enabled/>
                  <w:calcOnExit w:val="0"/>
                  <w:textInput/>
                </w:ffData>
              </w:fldChar>
            </w:r>
            <w:r>
              <w:rPr>
                <w:bCs/>
                <w:sz w:val="24"/>
                <w:szCs w:val="24"/>
                <w:u w:val="single"/>
              </w:rPr>
              <w:instrText xml:space="preserve"> FORMTEXT </w:instrText>
            </w:r>
            <w:r>
              <w:rPr>
                <w:bCs/>
                <w:sz w:val="24"/>
                <w:szCs w:val="24"/>
                <w:u w:val="single"/>
              </w:rPr>
            </w:r>
            <w:r>
              <w:rPr>
                <w:bCs/>
                <w:sz w:val="24"/>
                <w:szCs w:val="24"/>
                <w:u w:val="single"/>
              </w:rPr>
              <w:fldChar w:fldCharType="separate"/>
            </w:r>
            <w:bookmarkStart w:id="3" w:name="_GoBack"/>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bookmarkEnd w:id="3"/>
            <w:r>
              <w:rPr>
                <w:bCs/>
                <w:sz w:val="24"/>
                <w:szCs w:val="24"/>
                <w:u w:val="single"/>
              </w:rPr>
              <w:fldChar w:fldCharType="end"/>
            </w:r>
            <w:r w:rsidRPr="0069723B">
              <w:rPr>
                <w:rStyle w:val="FootnoteReference"/>
                <w:bCs/>
                <w:sz w:val="24"/>
                <w:szCs w:val="24"/>
                <w:lang w:val="it-IT"/>
              </w:rPr>
              <w:footnoteReference w:id="1"/>
            </w:r>
            <w:r w:rsidRPr="0069723B">
              <w:rPr>
                <w:sz w:val="24"/>
                <w:szCs w:val="24"/>
              </w:rPr>
              <w:t xml:space="preserve"> </w:t>
            </w:r>
          </w:p>
          <w:p w:rsidR="00A131A4" w:rsidRPr="007073BE" w:rsidRDefault="00A131A4" w:rsidP="00D13B13">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Pr>
                <w:bCs/>
                <w:sz w:val="24"/>
                <w:szCs w:val="24"/>
                <w:u w:val="single"/>
              </w:rPr>
              <w:fldChar w:fldCharType="begin">
                <w:ffData>
                  <w:name w:val=""/>
                  <w:enabled/>
                  <w:calcOnExit w:val="0"/>
                  <w:textInput/>
                </w:ffData>
              </w:fldChar>
            </w:r>
            <w:r w:rsidRPr="007073BE">
              <w:rPr>
                <w:bCs/>
                <w:sz w:val="24"/>
                <w:szCs w:val="24"/>
                <w:u w:val="single"/>
                <w:lang w:val="fr-FR"/>
              </w:rPr>
              <w:instrText xml:space="preserve"> FORMTEXT </w:instrText>
            </w:r>
            <w:r>
              <w:rPr>
                <w:bCs/>
                <w:sz w:val="24"/>
                <w:szCs w:val="24"/>
                <w:u w:val="single"/>
              </w:rPr>
            </w:r>
            <w:r>
              <w:rPr>
                <w:bCs/>
                <w:sz w:val="24"/>
                <w:szCs w:val="24"/>
                <w:u w:val="single"/>
              </w:rPr>
              <w:fldChar w:fldCharType="separate"/>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sz w:val="24"/>
                <w:szCs w:val="24"/>
                <w:u w:val="single"/>
              </w:rPr>
              <w:fldChar w:fldCharType="end"/>
            </w:r>
            <w:r w:rsidRPr="0069723B">
              <w:rPr>
                <w:sz w:val="24"/>
                <w:szCs w:val="24"/>
                <w:vertAlign w:val="superscript"/>
                <w:lang w:val="it-IT"/>
              </w:rPr>
              <w:t>1</w:t>
            </w:r>
          </w:p>
          <w:p w:rsidR="00A131A4" w:rsidRPr="0069723B" w:rsidRDefault="00A131A4" w:rsidP="00D13B13">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Pr>
                <w:bCs/>
                <w:sz w:val="24"/>
                <w:szCs w:val="24"/>
                <w:u w:val="single"/>
              </w:rPr>
              <w:fldChar w:fldCharType="begin">
                <w:ffData>
                  <w:name w:val=""/>
                  <w:enabled/>
                  <w:calcOnExit w:val="0"/>
                  <w:textInput/>
                </w:ffData>
              </w:fldChar>
            </w:r>
            <w:r>
              <w:rPr>
                <w:bCs/>
                <w:sz w:val="24"/>
                <w:szCs w:val="24"/>
                <w:u w:val="single"/>
              </w:rPr>
              <w:instrText xml:space="preserve"> FORMTEXT </w:instrText>
            </w:r>
            <w:r>
              <w:rPr>
                <w:bCs/>
                <w:sz w:val="24"/>
                <w:szCs w:val="24"/>
                <w:u w:val="single"/>
              </w:rPr>
            </w:r>
            <w:r>
              <w:rPr>
                <w:bCs/>
                <w:sz w:val="24"/>
                <w:szCs w:val="24"/>
                <w:u w:val="single"/>
              </w:rPr>
              <w:fldChar w:fldCharType="separate"/>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sz w:val="24"/>
                <w:szCs w:val="24"/>
                <w:u w:val="single"/>
              </w:rPr>
              <w:fldChar w:fldCharType="end"/>
            </w:r>
            <w:r w:rsidRPr="0069723B">
              <w:rPr>
                <w:sz w:val="24"/>
                <w:szCs w:val="24"/>
                <w:vertAlign w:val="superscript"/>
                <w:lang w:val="it-IT"/>
              </w:rPr>
              <w:t>1</w:t>
            </w:r>
          </w:p>
          <w:bookmarkEnd w:id="1"/>
          <w:bookmarkEnd w:id="2"/>
          <w:p w:rsidR="00A131A4" w:rsidRPr="0069723B" w:rsidRDefault="00A131A4" w:rsidP="00D13B13">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Pr>
                <w:bCs/>
                <w:sz w:val="24"/>
                <w:szCs w:val="24"/>
                <w:u w:val="single"/>
              </w:rPr>
              <w:fldChar w:fldCharType="begin">
                <w:ffData>
                  <w:name w:val=""/>
                  <w:enabled/>
                  <w:calcOnExit w:val="0"/>
                  <w:textInput/>
                </w:ffData>
              </w:fldChar>
            </w:r>
            <w:r>
              <w:rPr>
                <w:bCs/>
                <w:sz w:val="24"/>
                <w:szCs w:val="24"/>
                <w:u w:val="single"/>
              </w:rPr>
              <w:instrText xml:space="preserve"> FORMTEXT </w:instrText>
            </w:r>
            <w:r>
              <w:rPr>
                <w:bCs/>
                <w:sz w:val="24"/>
                <w:szCs w:val="24"/>
                <w:u w:val="single"/>
              </w:rPr>
            </w:r>
            <w:r>
              <w:rPr>
                <w:bCs/>
                <w:sz w:val="24"/>
                <w:szCs w:val="24"/>
                <w:u w:val="single"/>
              </w:rPr>
              <w:fldChar w:fldCharType="separate"/>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sz w:val="24"/>
                <w:szCs w:val="24"/>
                <w:u w:val="single"/>
              </w:rPr>
              <w:fldChar w:fldCharType="end"/>
            </w:r>
            <w:r w:rsidRPr="0069723B">
              <w:rPr>
                <w:sz w:val="24"/>
                <w:szCs w:val="24"/>
                <w:vertAlign w:val="superscript"/>
                <w:lang w:val="it-IT"/>
              </w:rPr>
              <w:t>1</w:t>
            </w:r>
          </w:p>
        </w:tc>
      </w:tr>
      <w:tr w:rsidR="00A131A4" w:rsidRPr="0069723B" w:rsidTr="00D13B13">
        <w:trPr>
          <w:trHeight w:val="1371"/>
        </w:trPr>
        <w:tc>
          <w:tcPr>
            <w:tcW w:w="9540" w:type="dxa"/>
          </w:tcPr>
          <w:p w:rsidR="00A131A4" w:rsidRPr="0069723B" w:rsidRDefault="00A131A4" w:rsidP="00D13B13">
            <w:pPr>
              <w:spacing w:before="0" w:after="0"/>
              <w:rPr>
                <w:rFonts w:eastAsia="SimSun"/>
                <w:b/>
                <w:bCs/>
                <w:sz w:val="28"/>
                <w:szCs w:val="28"/>
              </w:rPr>
            </w:pPr>
          </w:p>
          <w:p w:rsidR="00A131A4" w:rsidRPr="0069723B" w:rsidRDefault="00A131A4" w:rsidP="00D13B13">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Pr="00F13EFD">
              <w:rPr>
                <w:bCs/>
                <w:sz w:val="28"/>
                <w:szCs w:val="28"/>
                <w:u w:val="single"/>
              </w:rPr>
              <w:fldChar w:fldCharType="begin">
                <w:ffData>
                  <w:name w:val="Text33"/>
                  <w:enabled/>
                  <w:calcOnExit w:val="0"/>
                  <w:textInput/>
                </w:ffData>
              </w:fldChar>
            </w:r>
            <w:r w:rsidRPr="00F13EFD">
              <w:rPr>
                <w:bCs/>
                <w:sz w:val="28"/>
                <w:szCs w:val="28"/>
                <w:u w:val="single"/>
              </w:rPr>
              <w:instrText xml:space="preserve"> FORMTEXT </w:instrText>
            </w:r>
            <w:r w:rsidRPr="00F13EFD">
              <w:rPr>
                <w:bCs/>
                <w:sz w:val="28"/>
                <w:szCs w:val="28"/>
                <w:u w:val="single"/>
              </w:rPr>
            </w:r>
            <w:r w:rsidRPr="00F13EFD">
              <w:rPr>
                <w:bCs/>
                <w:sz w:val="28"/>
                <w:szCs w:val="28"/>
                <w:u w:val="single"/>
              </w:rPr>
              <w:fldChar w:fldCharType="separate"/>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sz w:val="28"/>
                <w:szCs w:val="28"/>
                <w:u w:val="single"/>
              </w:rPr>
              <w:fldChar w:fldCharType="end"/>
            </w:r>
            <w:r w:rsidRPr="0069723B">
              <w:rPr>
                <w:b/>
                <w:sz w:val="24"/>
                <w:szCs w:val="24"/>
              </w:rPr>
              <w:t xml:space="preserve"> </w:t>
            </w:r>
            <w:r w:rsidRPr="0069723B">
              <w:rPr>
                <w:b/>
                <w:sz w:val="24"/>
                <w:szCs w:val="24"/>
                <w:lang w:val="it-IT"/>
              </w:rPr>
              <w:t>Licenze di Gestione:</w:t>
            </w:r>
            <w:r w:rsidRPr="0069723B">
              <w:rPr>
                <w:rFonts w:eastAsia="SimSun"/>
                <w:b/>
                <w:bCs/>
                <w:sz w:val="24"/>
                <w:szCs w:val="24"/>
              </w:rPr>
              <w:t xml:space="preserve"> </w:t>
            </w:r>
            <w:r w:rsidRPr="00F13EFD">
              <w:rPr>
                <w:bCs/>
                <w:sz w:val="28"/>
                <w:szCs w:val="28"/>
                <w:u w:val="single"/>
              </w:rPr>
              <w:fldChar w:fldCharType="begin">
                <w:ffData>
                  <w:name w:val="Text33"/>
                  <w:enabled/>
                  <w:calcOnExit w:val="0"/>
                  <w:textInput/>
                </w:ffData>
              </w:fldChar>
            </w:r>
            <w:r w:rsidRPr="00F13EFD">
              <w:rPr>
                <w:bCs/>
                <w:sz w:val="28"/>
                <w:szCs w:val="28"/>
                <w:u w:val="single"/>
              </w:rPr>
              <w:instrText xml:space="preserve"> FORMTEXT </w:instrText>
            </w:r>
            <w:r w:rsidRPr="00F13EFD">
              <w:rPr>
                <w:bCs/>
                <w:sz w:val="28"/>
                <w:szCs w:val="28"/>
                <w:u w:val="single"/>
              </w:rPr>
            </w:r>
            <w:r w:rsidRPr="00F13EFD">
              <w:rPr>
                <w:bCs/>
                <w:sz w:val="28"/>
                <w:szCs w:val="28"/>
                <w:u w:val="single"/>
              </w:rPr>
              <w:fldChar w:fldCharType="separate"/>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noProof/>
                <w:sz w:val="28"/>
                <w:szCs w:val="28"/>
                <w:u w:val="single"/>
              </w:rPr>
              <w:t> </w:t>
            </w:r>
            <w:r w:rsidRPr="00F13EFD">
              <w:rPr>
                <w:bCs/>
                <w:sz w:val="28"/>
                <w:szCs w:val="28"/>
                <w:u w:val="single"/>
              </w:rPr>
              <w:fldChar w:fldCharType="end"/>
            </w:r>
            <w:r w:rsidRPr="0069723B">
              <w:rPr>
                <w:rStyle w:val="FootnoteReference"/>
                <w:bCs/>
                <w:sz w:val="24"/>
                <w:szCs w:val="24"/>
              </w:rPr>
              <w:footnoteReference w:id="2"/>
            </w:r>
          </w:p>
          <w:p w:rsidR="00A131A4" w:rsidRPr="0069723B" w:rsidRDefault="00A131A4" w:rsidP="00D13B13">
            <w:pPr>
              <w:rPr>
                <w:rFonts w:eastAsia="SimSun"/>
                <w:b/>
                <w:bCs/>
                <w:sz w:val="28"/>
                <w:szCs w:val="28"/>
              </w:rPr>
            </w:pPr>
          </w:p>
        </w:tc>
      </w:tr>
      <w:tr w:rsidR="00A131A4" w:rsidRPr="00AD704B" w:rsidTr="00D13B13">
        <w:trPr>
          <w:trHeight w:val="249"/>
        </w:trPr>
        <w:tc>
          <w:tcPr>
            <w:tcW w:w="9540" w:type="dxa"/>
            <w:shd w:val="clear" w:color="auto" w:fill="000080"/>
            <w:vAlign w:val="center"/>
          </w:tcPr>
          <w:p w:rsidR="00A131A4" w:rsidRPr="00F13EFD" w:rsidRDefault="00A131A4" w:rsidP="00D13B13">
            <w:pPr>
              <w:pStyle w:val="Heading2"/>
              <w:numPr>
                <w:ilvl w:val="0"/>
                <w:numId w:val="0"/>
              </w:numPr>
              <w:rPr>
                <w:rFonts w:cs="Tahoma"/>
                <w:b w:val="0"/>
                <w:bCs w:val="0"/>
                <w:lang w:val="es-ES"/>
              </w:rPr>
            </w:pPr>
            <w:r w:rsidRPr="0069723B">
              <w:rPr>
                <w:rFonts w:cs="Tahoma"/>
                <w:lang w:val="it-IT"/>
              </w:rPr>
              <w:t>CONTRATTO DI LICENZA CON L'UTENTE FINALE</w:t>
            </w:r>
          </w:p>
        </w:tc>
      </w:tr>
    </w:tbl>
    <w:p w:rsidR="00A131A4" w:rsidRPr="0069723B" w:rsidRDefault="00A131A4" w:rsidP="00A131A4">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 della famiglia di applicazioni presso cui il licenziatario ha acquistato il software Microsoft (“Licenziante”)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A131A4" w:rsidRPr="0069723B" w:rsidRDefault="00A131A4" w:rsidP="00A131A4">
      <w:pPr>
        <w:pStyle w:val="Bullet2"/>
        <w:widowControl w:val="0"/>
        <w:numPr>
          <w:ilvl w:val="0"/>
          <w:numId w:val="12"/>
        </w:numPr>
        <w:tabs>
          <w:tab w:val="left" w:pos="360"/>
        </w:tabs>
        <w:ind w:left="360"/>
        <w:rPr>
          <w:sz w:val="20"/>
          <w:szCs w:val="20"/>
        </w:rPr>
      </w:pPr>
      <w:r w:rsidRPr="0069723B">
        <w:rPr>
          <w:sz w:val="20"/>
          <w:szCs w:val="20"/>
          <w:lang w:val="it-IT"/>
        </w:rPr>
        <w:t>aggiornamenti,</w:t>
      </w:r>
    </w:p>
    <w:p w:rsidR="00A131A4" w:rsidRPr="0069723B" w:rsidRDefault="00A131A4" w:rsidP="00A131A4">
      <w:pPr>
        <w:pStyle w:val="Bullet2"/>
        <w:widowControl w:val="0"/>
        <w:numPr>
          <w:ilvl w:val="0"/>
          <w:numId w:val="12"/>
        </w:numPr>
        <w:tabs>
          <w:tab w:val="left" w:pos="360"/>
        </w:tabs>
        <w:ind w:left="360"/>
        <w:rPr>
          <w:sz w:val="20"/>
          <w:szCs w:val="20"/>
        </w:rPr>
      </w:pPr>
      <w:r w:rsidRPr="0069723B">
        <w:rPr>
          <w:sz w:val="20"/>
          <w:szCs w:val="20"/>
          <w:lang w:val="it-IT"/>
        </w:rPr>
        <w:t>supplementi e</w:t>
      </w:r>
    </w:p>
    <w:p w:rsidR="00A131A4" w:rsidRPr="0069723B" w:rsidRDefault="00A131A4" w:rsidP="00A131A4">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A131A4" w:rsidRPr="007073BE" w:rsidRDefault="00A131A4" w:rsidP="00A131A4">
      <w:pPr>
        <w:widowControl w:val="0"/>
        <w:rPr>
          <w:sz w:val="20"/>
          <w:szCs w:val="20"/>
        </w:rPr>
      </w:pPr>
      <w:r w:rsidRPr="0069723B">
        <w:rPr>
          <w:sz w:val="20"/>
          <w:szCs w:val="20"/>
          <w:lang w:val="it-IT"/>
        </w:rPr>
        <w:t>forniti da Microsoft relativi al predetto software, a meno che questi siano accompagnati da specifiche condizioni.</w:t>
      </w:r>
      <w:r w:rsidRPr="007073BE">
        <w:rPr>
          <w:sz w:val="20"/>
          <w:szCs w:val="20"/>
        </w:rPr>
        <w:t xml:space="preserve"> </w:t>
      </w:r>
      <w:r w:rsidRPr="0069723B">
        <w:rPr>
          <w:sz w:val="20"/>
          <w:szCs w:val="20"/>
          <w:lang w:val="it-IT"/>
        </w:rPr>
        <w:t>In tal caso, queste ultime condizioni prevalgono su quelle del presente contratto.</w:t>
      </w:r>
      <w:r w:rsidRPr="007073BE">
        <w:rPr>
          <w:sz w:val="20"/>
          <w:szCs w:val="20"/>
        </w:rPr>
        <w:t xml:space="preserve"> </w:t>
      </w:r>
      <w:r w:rsidRPr="0069723B">
        <w:rPr>
          <w:sz w:val="20"/>
          <w:szCs w:val="20"/>
          <w:lang w:val="it-IT"/>
        </w:rPr>
        <w:t>Microsoft Corporation o una delle sue consociate (collettivamente “Microsoft”) ha concesso in licenza il software al Licenziante.</w:t>
      </w:r>
    </w:p>
    <w:p w:rsidR="00A131A4" w:rsidRPr="007073BE" w:rsidRDefault="00A131A4" w:rsidP="00A131A4">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Pr="007073BE">
        <w:rPr>
          <w:sz w:val="20"/>
          <w:szCs w:val="20"/>
        </w:rPr>
        <w:t xml:space="preserve"> </w:t>
      </w:r>
      <w:r w:rsidRPr="0069723B">
        <w:rPr>
          <w:sz w:val="20"/>
          <w:szCs w:val="20"/>
          <w:lang w:val="it-IT"/>
        </w:rPr>
        <w:t>e dovrà restituirlo prontamente al luogo di acquisto per ottenere il rimborso del prezzo.</w:t>
      </w:r>
    </w:p>
    <w:p w:rsidR="00A131A4" w:rsidRPr="007073BE" w:rsidRDefault="00A131A4" w:rsidP="00A131A4">
      <w:pPr>
        <w:pStyle w:val="Preamble"/>
        <w:widowControl w:val="0"/>
        <w:rPr>
          <w:sz w:val="20"/>
          <w:szCs w:val="20"/>
        </w:rPr>
      </w:pPr>
      <w:r w:rsidRPr="0069723B">
        <w:rPr>
          <w:sz w:val="20"/>
          <w:szCs w:val="20"/>
          <w:lang w:val="it-IT"/>
        </w:rPr>
        <w:t>Come descritto di seguito, l’utilizzo di alcune funzionalità del software funge anche da consenso alla trasmissione di determinate informazioni relative al computer durante la convalida e per i servizi basati su Internet.</w:t>
      </w:r>
    </w:p>
    <w:p w:rsidR="00A131A4" w:rsidRPr="0069723B" w:rsidRDefault="00A131A4" w:rsidP="00A131A4">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Pr="007073BE">
        <w:rPr>
          <w:sz w:val="20"/>
          <w:szCs w:val="20"/>
        </w:rPr>
        <w:t xml:space="preserve"> </w:t>
      </w:r>
      <w:r w:rsidRPr="0069723B">
        <w:rPr>
          <w:sz w:val="20"/>
          <w:szCs w:val="20"/>
          <w:lang w:val="it-IT"/>
        </w:rPr>
        <w:t>Nel caso di discrepanza tra una qualsiasi delle condizioni contenute nel software e le presenti condizioni, prevarranno le presenti condizioni.</w:t>
      </w:r>
    </w:p>
    <w:p w:rsidR="00A131A4" w:rsidRPr="0069723B" w:rsidRDefault="00A131A4" w:rsidP="00A131A4">
      <w:pPr>
        <w:pStyle w:val="Preamble"/>
        <w:widowControl w:val="0"/>
        <w:rPr>
          <w:sz w:val="20"/>
          <w:szCs w:val="20"/>
          <w:lang w:val="it-IT"/>
        </w:rPr>
      </w:pPr>
    </w:p>
    <w:p w:rsidR="00A131A4" w:rsidRPr="0069723B" w:rsidRDefault="00A131A4" w:rsidP="00A131A4">
      <w:pPr>
        <w:pStyle w:val="Preamble"/>
        <w:widowControl w:val="0"/>
        <w:rPr>
          <w:sz w:val="20"/>
          <w:szCs w:val="20"/>
          <w:lang w:val="it-IT"/>
        </w:rPr>
      </w:pPr>
    </w:p>
    <w:p w:rsidR="00A131A4" w:rsidRPr="0069723B" w:rsidRDefault="00A131A4" w:rsidP="00A131A4">
      <w:pPr>
        <w:pStyle w:val="Preamble"/>
        <w:widowControl w:val="0"/>
        <w:rPr>
          <w:sz w:val="20"/>
          <w:szCs w:val="20"/>
          <w:lang w:val="it-IT"/>
        </w:rPr>
      </w:pPr>
    </w:p>
    <w:p w:rsidR="00A131A4" w:rsidRPr="0069723B" w:rsidRDefault="00A131A4" w:rsidP="00A131A4">
      <w:pPr>
        <w:pStyle w:val="Preamble"/>
        <w:widowControl w:val="0"/>
        <w:rPr>
          <w:sz w:val="20"/>
          <w:szCs w:val="20"/>
          <w:lang w:val="it-IT"/>
        </w:rPr>
      </w:pPr>
    </w:p>
    <w:p w:rsidR="00A131A4" w:rsidRPr="007073BE" w:rsidRDefault="00A131A4" w:rsidP="00A131A4">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4" w:rsidRPr="00AD704B"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131A4" w:rsidRPr="007073BE" w:rsidRDefault="00A131A4" w:rsidP="00D13B13">
            <w:pPr>
              <w:widowControl w:val="0"/>
              <w:ind w:right="-115"/>
              <w:rPr>
                <w:i/>
                <w:sz w:val="20"/>
                <w:szCs w:val="20"/>
              </w:rPr>
            </w:pPr>
          </w:p>
          <w:p w:rsidR="00A131A4" w:rsidRPr="007073BE" w:rsidRDefault="00A131A4" w:rsidP="00D13B13">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Pr="007073BE">
              <w:rPr>
                <w:rFonts w:cs="Tahoma"/>
                <w:bCs/>
                <w:sz w:val="20"/>
                <w:vertAlign w:val="superscript"/>
              </w:rPr>
              <w:t xml:space="preserve">  </w:t>
            </w:r>
            <w:r w:rsidRPr="007073BE">
              <w:rPr>
                <w:rFonts w:cs="Tahoma"/>
                <w:bCs/>
                <w:sz w:val="20"/>
              </w:rPr>
              <w:t xml:space="preserve">                                                                        </w:t>
            </w:r>
          </w:p>
        </w:tc>
      </w:tr>
    </w:tbl>
    <w:p w:rsidR="00A131A4" w:rsidRPr="007073BE" w:rsidRDefault="00A131A4" w:rsidP="00A131A4">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A131A4" w:rsidRPr="0069723B" w:rsidRDefault="00A131A4" w:rsidP="00A131A4">
      <w:pPr>
        <w:pStyle w:val="Heading1"/>
        <w:widowControl w:val="0"/>
        <w:rPr>
          <w:rFonts w:cs="Tahoma"/>
          <w:sz w:val="20"/>
        </w:rPr>
      </w:pPr>
      <w:r w:rsidRPr="0069723B">
        <w:rPr>
          <w:rFonts w:cs="Tahoma"/>
          <w:sz w:val="20"/>
          <w:lang w:val="it-IT"/>
        </w:rPr>
        <w:t>PREMESSE.</w:t>
      </w:r>
    </w:p>
    <w:p w:rsidR="00A131A4" w:rsidRPr="0069723B" w:rsidRDefault="00A131A4" w:rsidP="00A131A4">
      <w:pPr>
        <w:pStyle w:val="Heading2"/>
        <w:widowControl w:val="0"/>
        <w:tabs>
          <w:tab w:val="clear" w:pos="903"/>
        </w:tabs>
        <w:ind w:left="720" w:hanging="360"/>
        <w:rPr>
          <w:rFonts w:cs="Tahoma"/>
          <w:sz w:val="20"/>
          <w:szCs w:val="20"/>
        </w:rPr>
      </w:pPr>
      <w:r w:rsidRPr="0069723B">
        <w:rPr>
          <w:rFonts w:cs="Tahoma"/>
          <w:sz w:val="20"/>
          <w:szCs w:val="20"/>
          <w:lang w:val="it-IT"/>
        </w:rPr>
        <w:t>Software.</w:t>
      </w:r>
      <w:r w:rsidRPr="0069723B">
        <w:rPr>
          <w:rFonts w:cs="Tahoma"/>
          <w:sz w:val="20"/>
          <w:szCs w:val="20"/>
        </w:rPr>
        <w:t xml:space="preserve"> </w:t>
      </w:r>
      <w:r w:rsidRPr="0069723B">
        <w:rPr>
          <w:rFonts w:cs="Tahoma"/>
          <w:b w:val="0"/>
          <w:sz w:val="20"/>
          <w:szCs w:val="20"/>
          <w:lang w:val="it-IT"/>
        </w:rPr>
        <w:t>Il software include</w:t>
      </w:r>
    </w:p>
    <w:p w:rsidR="00A131A4" w:rsidRPr="0069723B" w:rsidRDefault="00A131A4" w:rsidP="00A131A4">
      <w:pPr>
        <w:pStyle w:val="Bullet3"/>
        <w:widowControl w:val="0"/>
        <w:rPr>
          <w:rFonts w:cs="Tahoma"/>
          <w:sz w:val="20"/>
        </w:rPr>
      </w:pPr>
      <w:r w:rsidRPr="0069723B">
        <w:rPr>
          <w:rFonts w:cs="Tahoma"/>
          <w:sz w:val="20"/>
          <w:lang w:val="it-IT"/>
        </w:rPr>
        <w:t>software server e</w:t>
      </w:r>
    </w:p>
    <w:p w:rsidR="00A131A4" w:rsidRPr="00AD704B" w:rsidRDefault="00A131A4" w:rsidP="00A131A4">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A131A4" w:rsidRPr="00AD704B" w:rsidRDefault="00A131A4" w:rsidP="00A131A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Pr="0069723B">
        <w:rPr>
          <w:rFonts w:cs="Tahoma"/>
          <w:b w:val="0"/>
          <w:sz w:val="20"/>
          <w:szCs w:val="20"/>
          <w:lang w:val="it-IT"/>
        </w:rPr>
        <w:t>Il software è concesso in licenza in base al numero di ambienti fisici e virtuali del sistema operativo gestiti dal licenziatario e, in alcuni casi, in base al numero di utenti che li utilizzano.</w:t>
      </w:r>
    </w:p>
    <w:p w:rsidR="00A131A4" w:rsidRPr="0069723B" w:rsidRDefault="00A131A4" w:rsidP="00A131A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A131A4" w:rsidRPr="00F13EFD" w:rsidRDefault="00A131A4" w:rsidP="00A131A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Pr="0069723B">
        <w:rPr>
          <w:rFonts w:cs="Tahoma"/>
          <w:sz w:val="20"/>
          <w:lang w:val="it-IT"/>
        </w:rPr>
        <w:t>La cessione di una licenza consiste nell'attribuire tale licenza a un server, dispositivo o utente.</w:t>
      </w:r>
    </w:p>
    <w:p w:rsidR="00A131A4" w:rsidRPr="00F13EFD" w:rsidRDefault="00A131A4" w:rsidP="00A131A4">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un'“istanza”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“istanze”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Il licenziatario “esegue un'istanza”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A131A4" w:rsidRPr="00F13EFD" w:rsidRDefault="00A131A4" w:rsidP="00A131A4">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Pr="0069723B">
        <w:rPr>
          <w:rFonts w:cs="Tahoma"/>
          <w:b/>
          <w:sz w:val="20"/>
          <w:lang w:val="it-IT"/>
        </w:rPr>
        <w:t>Ambiente del Sistema Operativo.</w:t>
      </w:r>
      <w:r w:rsidRPr="00F13EFD">
        <w:rPr>
          <w:rFonts w:cs="Tahoma"/>
          <w:sz w:val="20"/>
          <w:lang w:val="es-ES"/>
        </w:rPr>
        <w:t xml:space="preserve"> </w:t>
      </w:r>
      <w:r w:rsidRPr="0069723B">
        <w:rPr>
          <w:rFonts w:cs="Tahoma"/>
          <w:sz w:val="20"/>
          <w:lang w:val="it-IT"/>
        </w:rPr>
        <w:t>Un “ambiente del sistema operativo” o OSE è costituito da:</w:t>
      </w:r>
    </w:p>
    <w:p w:rsidR="00A131A4" w:rsidRPr="00F13EFD" w:rsidRDefault="00A131A4" w:rsidP="00A131A4">
      <w:pPr>
        <w:pStyle w:val="Bullet4"/>
        <w:rPr>
          <w:sz w:val="20"/>
          <w:szCs w:val="20"/>
          <w:lang w:val="es-ES"/>
        </w:rPr>
      </w:pPr>
      <w:r w:rsidRPr="0069723B">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A131A4" w:rsidRPr="00AD704B" w:rsidRDefault="00A131A4" w:rsidP="00A131A4">
      <w:pPr>
        <w:pStyle w:val="Bullet4"/>
        <w:rPr>
          <w:sz w:val="20"/>
          <w:szCs w:val="20"/>
          <w:lang w:val="pt-PT"/>
        </w:rPr>
      </w:pPr>
      <w:r w:rsidRPr="0069723B">
        <w:rPr>
          <w:sz w:val="20"/>
          <w:szCs w:val="20"/>
          <w:lang w:val="it-IT"/>
        </w:rPr>
        <w:t>istanze di eventuali applicazioni, configurate per essere eseguite sulle istanze complete o parziali del sistema operativo identificate sopra.</w:t>
      </w:r>
    </w:p>
    <w:p w:rsidR="00A131A4" w:rsidRPr="00F13EFD" w:rsidRDefault="00A131A4" w:rsidP="00A131A4">
      <w:pPr>
        <w:pStyle w:val="Body3"/>
        <w:rPr>
          <w:lang w:val="es-ES"/>
        </w:rPr>
      </w:pPr>
      <w:r w:rsidRPr="0069723B">
        <w:rPr>
          <w:sz w:val="20"/>
          <w:lang w:val="it-IT"/>
        </w:rPr>
        <w:t>Vi sono due tipi di OSE, l'OSE fisico e l'OSE virtuale.</w:t>
      </w:r>
      <w:r w:rsidRPr="00AD704B">
        <w:rPr>
          <w:sz w:val="20"/>
          <w:szCs w:val="20"/>
          <w:lang w:val="pt-PT"/>
        </w:rPr>
        <w:t xml:space="preserve"> </w:t>
      </w:r>
      <w:r w:rsidRPr="0069723B">
        <w:rPr>
          <w:sz w:val="20"/>
          <w:lang w:val="it-IT"/>
        </w:rPr>
        <w:t>Un OSE fisico è configurato per l'esecuzione diretta in un sistema hardware fisico.</w:t>
      </w:r>
      <w:r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Pr="00F13EFD">
        <w:rPr>
          <w:sz w:val="20"/>
          <w:szCs w:val="20"/>
          <w:lang w:val="es-ES"/>
        </w:rPr>
        <w:t xml:space="preserve"> </w:t>
      </w:r>
      <w:r w:rsidRPr="0069723B">
        <w:rPr>
          <w:sz w:val="20"/>
          <w:lang w:val="it-IT"/>
        </w:rPr>
        <w:t>Un OSE virtuale è configurato per l'esecuzione in un sistema hardware virtuale (o emulato in altro modo).</w:t>
      </w:r>
      <w:r w:rsidRPr="00F13EFD">
        <w:rPr>
          <w:lang w:val="es-ES"/>
        </w:rPr>
        <w:t xml:space="preserve"> </w:t>
      </w:r>
      <w:r w:rsidRPr="0069723B">
        <w:rPr>
          <w:sz w:val="20"/>
          <w:lang w:val="it-IT"/>
        </w:rPr>
        <w:t>Un sistema hardware fisico può avere un OSE fisico e uno o più OSE virtuali.</w:t>
      </w:r>
    </w:p>
    <w:p w:rsidR="00A131A4" w:rsidRPr="00F13EFD" w:rsidRDefault="00A131A4" w:rsidP="00A131A4">
      <w:pPr>
        <w:pStyle w:val="Bullet3"/>
        <w:numPr>
          <w:ilvl w:val="0"/>
          <w:numId w:val="0"/>
        </w:numPr>
        <w:ind w:left="1080" w:hanging="360"/>
        <w:rPr>
          <w:rFonts w:cs="Tahoma"/>
          <w:sz w:val="20"/>
          <w:lang w:val="es-ES"/>
        </w:rPr>
      </w:pPr>
      <w:r w:rsidRPr="0069723B">
        <w:rPr>
          <w:rFonts w:cs="Tahoma"/>
          <w:b/>
          <w:sz w:val="20"/>
          <w:lang w:val="it-IT"/>
        </w:rPr>
        <w:t>iv.</w:t>
      </w:r>
      <w:r w:rsidRPr="00F13EFD">
        <w:rPr>
          <w:rFonts w:cs="Tahoma"/>
          <w:sz w:val="20"/>
          <w:lang w:val="es-ES"/>
        </w:rPr>
        <w:tab/>
      </w:r>
      <w:r w:rsidRPr="0069723B">
        <w:rPr>
          <w:rFonts w:cs="Tahoma"/>
          <w:b/>
          <w:sz w:val="20"/>
          <w:lang w:val="it-IT"/>
        </w:rPr>
        <w:t>Gestione degli OSE.</w:t>
      </w:r>
      <w:r w:rsidRPr="00F13EFD">
        <w:rPr>
          <w:rFonts w:cs="Tahoma"/>
          <w:sz w:val="20"/>
          <w:lang w:val="es-ES"/>
        </w:rPr>
        <w:t xml:space="preserve"> </w:t>
      </w:r>
      <w:r w:rsidRPr="0069723B">
        <w:rPr>
          <w:rFonts w:cs="Tahoma"/>
          <w:sz w:val="20"/>
          <w:lang w:val="it-IT"/>
        </w:rPr>
        <w:t>Ai fini dell'interpretazione delle presenti condizioni di licenza, “gestire” un OSE significa:</w:t>
      </w:r>
    </w:p>
    <w:p w:rsidR="00A131A4" w:rsidRPr="0069723B" w:rsidRDefault="00A131A4" w:rsidP="00A131A4">
      <w:pPr>
        <w:pStyle w:val="Bullet4"/>
        <w:rPr>
          <w:sz w:val="20"/>
          <w:szCs w:val="20"/>
        </w:rPr>
      </w:pPr>
      <w:r w:rsidRPr="0069723B">
        <w:rPr>
          <w:sz w:val="20"/>
          <w:szCs w:val="20"/>
          <w:lang w:val="it-IT"/>
        </w:rPr>
        <w:t>richiedere o ricevere dati,</w:t>
      </w:r>
    </w:p>
    <w:p w:rsidR="00A131A4" w:rsidRPr="0069723B" w:rsidRDefault="00A131A4" w:rsidP="00A131A4">
      <w:pPr>
        <w:pStyle w:val="Bullet4"/>
        <w:rPr>
          <w:sz w:val="20"/>
          <w:szCs w:val="20"/>
        </w:rPr>
      </w:pPr>
      <w:r w:rsidRPr="0069723B">
        <w:rPr>
          <w:sz w:val="20"/>
          <w:szCs w:val="20"/>
          <w:lang w:val="it-IT"/>
        </w:rPr>
        <w:t>configurare o</w:t>
      </w:r>
    </w:p>
    <w:p w:rsidR="00A131A4" w:rsidRPr="00AD704B" w:rsidRDefault="00A131A4" w:rsidP="00A131A4">
      <w:pPr>
        <w:pStyle w:val="Bullet4"/>
        <w:rPr>
          <w:sz w:val="20"/>
          <w:szCs w:val="20"/>
          <w:lang w:val="pt-PT"/>
        </w:rPr>
      </w:pPr>
      <w:r w:rsidRPr="0069723B">
        <w:rPr>
          <w:sz w:val="20"/>
          <w:szCs w:val="20"/>
          <w:lang w:val="it-IT"/>
        </w:rPr>
        <w:t>fornire istruzioni all'hardware o al software direttamente o indirettamente associato all'OSE.</w:t>
      </w:r>
    </w:p>
    <w:p w:rsidR="00A131A4" w:rsidRDefault="00A131A4" w:rsidP="00A131A4">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A131A4" w:rsidRPr="00F13EFD" w:rsidRDefault="00A131A4" w:rsidP="00A131A4">
      <w:pPr>
        <w:pStyle w:val="Bullet3"/>
        <w:numPr>
          <w:ilvl w:val="0"/>
          <w:numId w:val="0"/>
        </w:numPr>
        <w:ind w:left="1080" w:hanging="360"/>
        <w:rPr>
          <w:sz w:val="20"/>
          <w:lang w:val="es-ES"/>
        </w:rPr>
      </w:pPr>
      <w:r w:rsidRPr="0069723B">
        <w:rPr>
          <w:b/>
          <w:sz w:val="20"/>
          <w:lang w:val="it-IT"/>
        </w:rPr>
        <w:t>v.</w:t>
      </w:r>
      <w:r w:rsidRPr="00F13EFD">
        <w:rPr>
          <w:sz w:val="20"/>
          <w:lang w:val="es-ES"/>
        </w:rPr>
        <w:tab/>
      </w:r>
      <w:r w:rsidRPr="0069723B">
        <w:rPr>
          <w:b/>
          <w:sz w:val="20"/>
          <w:lang w:val="it-IT"/>
        </w:rPr>
        <w:t>Server.</w:t>
      </w:r>
      <w:r w:rsidRPr="00F13EFD">
        <w:rPr>
          <w:sz w:val="20"/>
          <w:lang w:val="es-ES"/>
        </w:rPr>
        <w:t xml:space="preserve"> </w:t>
      </w:r>
      <w:r w:rsidRPr="0069723B">
        <w:rPr>
          <w:sz w:val="20"/>
          <w:lang w:val="it-IT"/>
        </w:rPr>
        <w:t>Un server è un sistema hardware fisico in grado di eseguire un software server.</w:t>
      </w:r>
      <w:r w:rsidRPr="00F13EFD">
        <w:rPr>
          <w:sz w:val="20"/>
          <w:lang w:val="es-ES"/>
        </w:rPr>
        <w:t xml:space="preserve"> </w:t>
      </w:r>
      <w:r w:rsidRPr="0069723B">
        <w:rPr>
          <w:sz w:val="20"/>
          <w:lang w:val="it-IT"/>
        </w:rPr>
        <w:t>Una partizione hardware o un blade è considerato un sistema hardware fisico separato.</w:t>
      </w:r>
    </w:p>
    <w:p w:rsidR="00A131A4" w:rsidRPr="00AD704B" w:rsidRDefault="00A131A4" w:rsidP="00A131A4">
      <w:pPr>
        <w:pStyle w:val="Bullet3"/>
        <w:numPr>
          <w:ilvl w:val="0"/>
          <w:numId w:val="0"/>
        </w:numPr>
        <w:ind w:left="1080" w:hanging="360"/>
        <w:rPr>
          <w:sz w:val="20"/>
          <w:lang w:val="es-ES"/>
        </w:rPr>
      </w:pPr>
      <w:r w:rsidRPr="0069723B">
        <w:rPr>
          <w:b/>
          <w:sz w:val="20"/>
          <w:lang w:val="it-IT"/>
        </w:rPr>
        <w:lastRenderedPageBreak/>
        <w:t>vi.</w:t>
      </w:r>
      <w:r w:rsidRPr="00AD704B">
        <w:rPr>
          <w:sz w:val="20"/>
          <w:lang w:val="es-ES"/>
        </w:rPr>
        <w:tab/>
      </w:r>
      <w:r w:rsidRPr="0069723B">
        <w:rPr>
          <w:b/>
          <w:sz w:val="20"/>
          <w:lang w:val="it-IT"/>
        </w:rPr>
        <w:t>Software Server.</w:t>
      </w:r>
      <w:r w:rsidRPr="00AD704B">
        <w:rPr>
          <w:sz w:val="20"/>
          <w:lang w:val="es-ES"/>
        </w:rPr>
        <w:t xml:space="preserve"> </w:t>
      </w:r>
      <w:r w:rsidRPr="0069723B">
        <w:rPr>
          <w:sz w:val="20"/>
          <w:lang w:val="it-IT"/>
        </w:rPr>
        <w:t>“Software Server”,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A131A4" w:rsidRPr="0069723B" w:rsidRDefault="00A131A4" w:rsidP="00A131A4">
      <w:pPr>
        <w:pStyle w:val="Heading1"/>
        <w:rPr>
          <w:rFonts w:cs="Tahoma"/>
          <w:sz w:val="20"/>
        </w:rPr>
      </w:pPr>
      <w:r w:rsidRPr="0069723B">
        <w:rPr>
          <w:rFonts w:cs="Tahoma"/>
          <w:sz w:val="20"/>
          <w:lang w:val="it-IT"/>
        </w:rPr>
        <w:t>DIRITTI SULL'UTILIZZO.</w:t>
      </w:r>
    </w:p>
    <w:p w:rsidR="00A131A4" w:rsidRPr="00AD704B" w:rsidRDefault="00A131A4" w:rsidP="00A131A4">
      <w:pPr>
        <w:pStyle w:val="Heading1"/>
        <w:numPr>
          <w:ilvl w:val="0"/>
          <w:numId w:val="0"/>
        </w:numPr>
        <w:ind w:left="357"/>
        <w:rPr>
          <w:rFonts w:cs="Tahoma"/>
          <w:sz w:val="20"/>
          <w:lang w:val="pt-PT"/>
        </w:rPr>
      </w:pPr>
      <w:r w:rsidRPr="0069723B">
        <w:rPr>
          <w:rFonts w:cs="Tahoma"/>
          <w:sz w:val="20"/>
          <w:lang w:val="it-IT"/>
        </w:rPr>
        <w:t>Acquisto e Cessione di Licenze di Gestione.</w:t>
      </w:r>
      <w:r w:rsidRPr="00AD704B">
        <w:rPr>
          <w:rFonts w:cs="Tahoma"/>
          <w:sz w:val="20"/>
          <w:lang w:val="pt-PT"/>
        </w:rPr>
        <w:t xml:space="preserve"> </w:t>
      </w:r>
    </w:p>
    <w:p w:rsidR="00A131A4" w:rsidRPr="00AD704B" w:rsidRDefault="00A131A4" w:rsidP="00A131A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Pr="00AD704B">
        <w:rPr>
          <w:rFonts w:cs="Tahoma"/>
          <w:b w:val="0"/>
          <w:sz w:val="20"/>
          <w:szCs w:val="20"/>
          <w:lang w:val="pt-PT"/>
        </w:rPr>
        <w:t xml:space="preserve"> </w:t>
      </w:r>
    </w:p>
    <w:p w:rsidR="00A131A4" w:rsidRPr="007073BE" w:rsidRDefault="00A131A4" w:rsidP="00A131A4">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Pr="0069723B">
        <w:rPr>
          <w:rFonts w:cs="Tahoma"/>
          <w:b w:val="0"/>
          <w:sz w:val="20"/>
          <w:lang w:val="it-IT"/>
        </w:rPr>
        <w:t>server e 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Pr="007073BE">
        <w:rPr>
          <w:rFonts w:cs="Tahoma"/>
          <w:sz w:val="20"/>
          <w:lang w:val="pt-PT"/>
        </w:rPr>
        <w:t xml:space="preserve"> </w:t>
      </w:r>
      <w:r w:rsidRPr="0069723B">
        <w:rPr>
          <w:rFonts w:cs="Tahoma"/>
          <w:b w:val="0"/>
          <w:sz w:val="20"/>
          <w:lang w:val="it-IT"/>
        </w:rPr>
        <w:t>Gli OSE in cui è in esecuzione qualsiasi altro software del sistema operativo richiedono licenze di gestione client.</w:t>
      </w:r>
    </w:p>
    <w:p w:rsidR="00A131A4" w:rsidRPr="00F13EFD" w:rsidRDefault="00A131A4" w:rsidP="00A131A4">
      <w:pPr>
        <w:pStyle w:val="Heading3Bold"/>
        <w:tabs>
          <w:tab w:val="clear" w:pos="1077"/>
          <w:tab w:val="clear" w:pos="1440"/>
        </w:tabs>
        <w:rPr>
          <w:rFonts w:cs="Tahoma"/>
          <w:sz w:val="20"/>
          <w:lang w:val="es-ES"/>
        </w:rPr>
      </w:pPr>
      <w:r w:rsidRPr="0069723B">
        <w:rPr>
          <w:rFonts w:cs="Tahoma"/>
          <w:sz w:val="20"/>
          <w:lang w:val="it-IT"/>
        </w:rPr>
        <w:t>Licenze di Gestione Server.</w:t>
      </w:r>
      <w:r w:rsidRPr="007073BE">
        <w:rPr>
          <w:rFonts w:cs="Tahoma"/>
          <w:sz w:val="20"/>
          <w:lang w:val="pt-PT"/>
        </w:rPr>
        <w:t xml:space="preserve"> </w:t>
      </w:r>
      <w:r w:rsidRPr="0069723B">
        <w:rPr>
          <w:rFonts w:cs="Tahoma"/>
          <w:b w:val="0"/>
          <w:sz w:val="20"/>
          <w:lang w:val="it-IT"/>
        </w:rPr>
        <w:t>Esiste un solo tipo di licenza di gestione server,</w:t>
      </w:r>
      <w:r w:rsidRPr="007073BE">
        <w:rPr>
          <w:rFonts w:cs="Tahoma"/>
          <w:b w:val="0"/>
          <w:sz w:val="20"/>
          <w:lang w:val="pt-PT"/>
        </w:rPr>
        <w:t xml:space="preserve"> </w:t>
      </w:r>
      <w:r w:rsidRPr="0069723B">
        <w:rPr>
          <w:rFonts w:cs="Tahoma"/>
          <w:b w:val="0"/>
          <w:sz w:val="20"/>
          <w:lang w:val="it-IT"/>
        </w:rPr>
        <w:t>OSE, e due edizioni,</w:t>
      </w:r>
      <w:r w:rsidRPr="007073BE">
        <w:rPr>
          <w:rFonts w:cs="Tahoma"/>
          <w:b w:val="0"/>
          <w:sz w:val="20"/>
          <w:lang w:val="pt-PT"/>
        </w:rPr>
        <w:t xml:space="preserve"> </w:t>
      </w:r>
      <w:r w:rsidRPr="0069723B">
        <w:rPr>
          <w:rFonts w:cs="Tahoma"/>
          <w:b w:val="0"/>
          <w:sz w:val="20"/>
          <w:lang w:val="it-IT"/>
        </w:rPr>
        <w:t>Standard e Datacenter.</w:t>
      </w:r>
      <w:r w:rsidRPr="007073BE">
        <w:rPr>
          <w:rFonts w:cs="Tahoma"/>
          <w:b w:val="0"/>
          <w:sz w:val="20"/>
          <w:lang w:val="pt-PT"/>
        </w:rPr>
        <w:t xml:space="preserve"> </w:t>
      </w:r>
      <w:r w:rsidRPr="0069723B">
        <w:rPr>
          <w:rFonts w:cs="Tahoma"/>
          <w:b w:val="0"/>
          <w:sz w:val="20"/>
          <w:lang w:val="it-IT"/>
        </w:rPr>
        <w:t>Una licenza di gestione server per OSE consente al licenziatario di utilizzare il Software Server per gestire il numero di OSE corrispondenti alla relativa edizione.</w:t>
      </w:r>
      <w:r w:rsidRPr="007073BE">
        <w:rPr>
          <w:rFonts w:cs="Tahoma"/>
          <w:b w:val="0"/>
          <w:sz w:val="20"/>
          <w:lang w:val="pt-PT"/>
        </w:rPr>
        <w:t xml:space="preserve"> </w:t>
      </w:r>
      <w:r w:rsidRPr="0069723B">
        <w:rPr>
          <w:rFonts w:cs="Tahoma"/>
          <w:b w:val="0"/>
          <w:sz w:val="20"/>
          <w:lang w:val="it-IT"/>
        </w:rPr>
        <w:t>Tutte le licenze di gestione server cedute a un server dovranno avere la stessa edizione.</w:t>
      </w:r>
      <w:r w:rsidRPr="007073BE">
        <w:rPr>
          <w:rFonts w:cs="Tahoma"/>
          <w:sz w:val="20"/>
          <w:lang w:val="fr-FR"/>
        </w:rPr>
        <w:t xml:space="preserve"> </w:t>
      </w:r>
      <w:r w:rsidRPr="0069723B">
        <w:rPr>
          <w:rFonts w:cs="Tahoma"/>
          <w:b w:val="0"/>
          <w:sz w:val="20"/>
          <w:lang w:val="it-IT"/>
        </w:rPr>
        <w:t>Le licenze di gestione server non autorizzano la gestione di OSE che eseguono un sistema operativo non server.</w:t>
      </w:r>
    </w:p>
    <w:p w:rsidR="00A131A4" w:rsidRPr="00AD704B" w:rsidRDefault="00A131A4" w:rsidP="00A131A4">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Pr="00F13EFD">
        <w:rPr>
          <w:sz w:val="20"/>
          <w:szCs w:val="20"/>
          <w:lang w:val="es-ES"/>
        </w:rPr>
        <w:t xml:space="preserve"> </w:t>
      </w:r>
      <w:r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Pr="00F13EFD">
        <w:rPr>
          <w:sz w:val="20"/>
          <w:szCs w:val="20"/>
          <w:lang w:val="es-ES"/>
        </w:rPr>
        <w:t xml:space="preserve"> </w:t>
      </w:r>
      <w:r w:rsidRPr="0069723B">
        <w:rPr>
          <w:sz w:val="20"/>
          <w:szCs w:val="20"/>
          <w:lang w:val="it-IT"/>
        </w:rPr>
        <w:t>Il licenziatario dovrà determinare il numero di licenze necessarie in base a entrambi i criteri, come descritto di seguito, e acquistare e cedere al server il numero di licenze maggiore tra i due.</w:t>
      </w:r>
    </w:p>
    <w:p w:rsidR="00A131A4" w:rsidRPr="00AD704B" w:rsidRDefault="00A131A4" w:rsidP="00A131A4">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A131A4" w:rsidRPr="00AD704B" w:rsidRDefault="00A131A4" w:rsidP="00A131A4">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Pr="00AD704B">
        <w:rPr>
          <w:sz w:val="20"/>
          <w:szCs w:val="20"/>
          <w:lang w:val="pt-PT"/>
        </w:rPr>
        <w:t xml:space="preserve"> </w:t>
      </w:r>
      <w:r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Pr="0069723B">
        <w:rPr>
          <w:spacing w:val="-4"/>
          <w:sz w:val="20"/>
          <w:szCs w:val="20"/>
          <w:lang w:val="it-IT"/>
        </w:rPr>
        <w:t>per la gestione e la manutenzione degli OSE su tale dispositivo. In tal caso, il licenziatario</w:t>
      </w:r>
      <w:r w:rsidRPr="0069723B">
        <w:rPr>
          <w:sz w:val="20"/>
          <w:szCs w:val="20"/>
          <w:lang w:val="it-IT"/>
        </w:rPr>
        <w:t xml:space="preserve"> dovrà contare solo il numero di OSE virtuali da gestire sul server, dividere il risultato per due e arrotondarlo per eccesso al numero intero più vicino.</w:t>
      </w:r>
      <w:r w:rsidRPr="00AD704B">
        <w:rPr>
          <w:sz w:val="20"/>
          <w:szCs w:val="20"/>
          <w:lang w:val="pt-PT"/>
        </w:rPr>
        <w:t> </w:t>
      </w:r>
    </w:p>
    <w:p w:rsidR="00A131A4" w:rsidRDefault="00A131A4" w:rsidP="00A131A4">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 tale server.</w:t>
      </w:r>
    </w:p>
    <w:p w:rsidR="00A131A4" w:rsidRPr="00AD704B" w:rsidRDefault="00A131A4" w:rsidP="00A131A4">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Pr>
          <w:sz w:val="20"/>
          <w:szCs w:val="20"/>
          <w:lang w:val="it-IT"/>
        </w:rPr>
        <w:t> </w:t>
      </w:r>
      <w:r w:rsidRPr="0069723B">
        <w:rPr>
          <w:sz w:val="20"/>
          <w:szCs w:val="20"/>
          <w:lang w:val="it-IT"/>
        </w:rPr>
        <w:t>server.</w:t>
      </w:r>
    </w:p>
    <w:p w:rsidR="00A131A4" w:rsidRPr="0069723B" w:rsidRDefault="00A131A4" w:rsidP="00A131A4">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A131A4" w:rsidRPr="00AD704B" w:rsidRDefault="00A131A4" w:rsidP="00A131A4">
      <w:pPr>
        <w:pStyle w:val="Heading3Bold"/>
        <w:tabs>
          <w:tab w:val="clear" w:pos="1077"/>
          <w:tab w:val="clear" w:pos="1440"/>
        </w:tabs>
        <w:rPr>
          <w:rFonts w:cs="Tahoma"/>
          <w:sz w:val="20"/>
          <w:lang w:val="it-IT"/>
        </w:rPr>
      </w:pPr>
      <w:r w:rsidRPr="0069723B">
        <w:rPr>
          <w:rFonts w:cs="Tahoma"/>
          <w:sz w:val="20"/>
          <w:lang w:val="it-IT"/>
        </w:rPr>
        <w:t>Licenze di Gestione Client.</w:t>
      </w:r>
      <w:r w:rsidRPr="00AD704B">
        <w:rPr>
          <w:rFonts w:cs="Tahoma"/>
          <w:sz w:val="20"/>
          <w:lang w:val="it-IT"/>
        </w:rPr>
        <w:t xml:space="preserve"> </w:t>
      </w:r>
      <w:r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Pr="00AD704B">
        <w:rPr>
          <w:rFonts w:cs="Tahoma"/>
          <w:sz w:val="20"/>
          <w:lang w:val="it-IT"/>
        </w:rPr>
        <w:t xml:space="preserve"> </w:t>
      </w:r>
      <w:r w:rsidRPr="0069723B">
        <w:rPr>
          <w:rFonts w:cs="Tahoma"/>
          <w:b w:val="0"/>
          <w:color w:val="000000"/>
          <w:sz w:val="20"/>
          <w:lang w:val="it-IT"/>
        </w:rPr>
        <w:t>Esistono due tipi di licenze di gestione client:</w:t>
      </w:r>
      <w:r w:rsidRPr="00AD704B">
        <w:rPr>
          <w:rFonts w:cs="Tahoma"/>
          <w:b w:val="0"/>
          <w:color w:val="000000"/>
          <w:sz w:val="20"/>
          <w:lang w:val="it-IT"/>
        </w:rPr>
        <w:t xml:space="preserve"> </w:t>
      </w:r>
      <w:r w:rsidRPr="0069723B">
        <w:rPr>
          <w:rFonts w:cs="Tahoma"/>
          <w:b w:val="0"/>
          <w:color w:val="000000"/>
          <w:sz w:val="20"/>
          <w:lang w:val="it-IT"/>
        </w:rPr>
        <w:t>una per gli OSE gestiti e una per gli utenti.</w:t>
      </w:r>
      <w:r w:rsidRPr="00AD704B">
        <w:rPr>
          <w:rFonts w:cs="Tahoma"/>
          <w:b w:val="0"/>
          <w:color w:val="000000"/>
          <w:sz w:val="20"/>
          <w:lang w:val="it-IT"/>
        </w:rPr>
        <w:t xml:space="preserve"> </w:t>
      </w:r>
      <w:r w:rsidRPr="0069723B">
        <w:rPr>
          <w:rFonts w:cs="Tahoma"/>
          <w:b w:val="0"/>
          <w:color w:val="000000"/>
          <w:sz w:val="20"/>
          <w:lang w:val="it-IT"/>
        </w:rPr>
        <w:t>Il licenziatario potrà scegliere uno dei due tipi o una combinazione di entrambi.</w:t>
      </w:r>
      <w:r w:rsidRPr="00AD704B">
        <w:rPr>
          <w:rFonts w:cs="Tahoma"/>
          <w:sz w:val="20"/>
          <w:lang w:val="it-IT"/>
        </w:rPr>
        <w:t xml:space="preserve"> </w:t>
      </w:r>
      <w:r w:rsidRPr="0069723B">
        <w:rPr>
          <w:rFonts w:cs="Tahoma"/>
          <w:b w:val="0"/>
          <w:color w:val="000000"/>
          <w:sz w:val="20"/>
          <w:lang w:val="it-IT"/>
        </w:rPr>
        <w:t>Le licenze di gestione client non autorizzano la gestione di</w:t>
      </w:r>
      <w:r>
        <w:rPr>
          <w:rFonts w:cs="Tahoma"/>
          <w:b w:val="0"/>
          <w:color w:val="000000"/>
          <w:sz w:val="20"/>
          <w:lang w:val="it-IT"/>
        </w:rPr>
        <w:t> </w:t>
      </w:r>
      <w:r w:rsidRPr="0069723B">
        <w:rPr>
          <w:rFonts w:cs="Tahoma"/>
          <w:b w:val="0"/>
          <w:color w:val="000000"/>
          <w:sz w:val="20"/>
          <w:lang w:val="it-IT"/>
        </w:rPr>
        <w:t>OSE in esecuzione su un sistema operativo server.</w:t>
      </w:r>
    </w:p>
    <w:p w:rsidR="00A131A4" w:rsidRPr="00F13EFD" w:rsidRDefault="00A131A4" w:rsidP="00A131A4">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Pr="007073BE">
        <w:rPr>
          <w:spacing w:val="3"/>
          <w:sz w:val="20"/>
          <w:szCs w:val="20"/>
          <w:u w:val="none"/>
          <w:lang w:val="it-IT"/>
        </w:rPr>
        <w:t xml:space="preserve"> </w:t>
      </w:r>
      <w:r w:rsidRPr="0069723B">
        <w:rPr>
          <w:spacing w:val="3"/>
          <w:sz w:val="20"/>
          <w:szCs w:val="20"/>
          <w:u w:val="none"/>
          <w:lang w:val="it-IT"/>
        </w:rPr>
        <w:t>Ogni licenza di gestione clienti per OSE consente l'utilizzo del Software Server per la gestione di un solo OSE.</w:t>
      </w:r>
      <w:r w:rsidRPr="007073BE">
        <w:rPr>
          <w:spacing w:val="3"/>
          <w:sz w:val="20"/>
          <w:szCs w:val="20"/>
          <w:u w:val="none"/>
          <w:lang w:val="it-IT"/>
        </w:rPr>
        <w:t xml:space="preserve"> </w:t>
      </w:r>
      <w:r w:rsidRPr="0069723B">
        <w:rPr>
          <w:spacing w:val="3"/>
          <w:sz w:val="20"/>
          <w:szCs w:val="20"/>
          <w:u w:val="none"/>
          <w:lang w:val="it-IT"/>
        </w:rPr>
        <w:t>Tale OSE potrà essere</w:t>
      </w:r>
      <w:r w:rsidRPr="0069723B">
        <w:rPr>
          <w:sz w:val="20"/>
          <w:szCs w:val="20"/>
          <w:u w:val="none"/>
          <w:lang w:val="it-IT"/>
        </w:rPr>
        <w:t xml:space="preserve"> utilizzato da un numero qualsiasi di utenti.</w:t>
      </w:r>
      <w:r w:rsidRPr="00AD704B">
        <w:rPr>
          <w:sz w:val="20"/>
          <w:szCs w:val="20"/>
          <w:u w:val="none"/>
          <w:lang w:val="pt-PT"/>
        </w:rPr>
        <w:t xml:space="preserve"> </w:t>
      </w:r>
      <w:r w:rsidRPr="0069723B">
        <w:rPr>
          <w:sz w:val="20"/>
          <w:szCs w:val="20"/>
          <w:u w:val="none"/>
          <w:lang w:val="it-IT"/>
        </w:rPr>
        <w:t>Qualora acquisti licenze di gestione client per OSE, il licenziatario dovrà cederle al dispositivo sul quale verranno eseguiti gli OSE gestiti (una per OSE gestito).</w:t>
      </w:r>
      <w:r w:rsidRPr="00AD704B">
        <w:rPr>
          <w:sz w:val="20"/>
          <w:szCs w:val="20"/>
          <w:u w:val="none"/>
          <w:lang w:val="pt-PT"/>
        </w:rPr>
        <w:t xml:space="preserve"> </w:t>
      </w:r>
      <w:r w:rsidRPr="0069723B">
        <w:rPr>
          <w:sz w:val="20"/>
          <w:szCs w:val="20"/>
          <w:u w:val="none"/>
          <w:lang w:val="it-IT"/>
        </w:rPr>
        <w:t>Una partizione hardware o un blade è considerato un dispositivo separato.</w:t>
      </w:r>
    </w:p>
    <w:p w:rsidR="00A131A4" w:rsidRPr="007073BE" w:rsidRDefault="00A131A4" w:rsidP="00A131A4">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 stata ceduta.</w:t>
      </w:r>
      <w:r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A131A4" w:rsidRPr="00F13EFD" w:rsidRDefault="00A131A4" w:rsidP="00A131A4">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Pr="007073BE">
        <w:rPr>
          <w:rFonts w:cs="Tahoma"/>
          <w:sz w:val="20"/>
          <w:lang w:val="fr-FR"/>
        </w:rPr>
        <w:t xml:space="preserve"> </w:t>
      </w:r>
      <w:r w:rsidRPr="0069723B">
        <w:rPr>
          <w:rFonts w:cs="Tahoma"/>
          <w:b w:val="0"/>
          <w:sz w:val="20"/>
          <w:lang w:val="it-IT"/>
        </w:rPr>
        <w:t>Il licenziatario non dovrà disporre di una licenza di</w:t>
      </w:r>
      <w:r>
        <w:rPr>
          <w:rFonts w:cs="Tahoma"/>
          <w:b w:val="0"/>
          <w:sz w:val="20"/>
          <w:lang w:val="it-IT"/>
        </w:rPr>
        <w:t> </w:t>
      </w:r>
      <w:r w:rsidRPr="0069723B">
        <w:rPr>
          <w:rFonts w:cs="Tahoma"/>
          <w:b w:val="0"/>
          <w:sz w:val="20"/>
          <w:lang w:val="it-IT"/>
        </w:rPr>
        <w:t>gestione per</w:t>
      </w:r>
    </w:p>
    <w:p w:rsidR="00A131A4" w:rsidRPr="0069723B" w:rsidRDefault="00A131A4" w:rsidP="00A131A4">
      <w:pPr>
        <w:pStyle w:val="Bullet4Underlined"/>
        <w:rPr>
          <w:sz w:val="20"/>
          <w:szCs w:val="20"/>
        </w:rPr>
      </w:pPr>
      <w:r w:rsidRPr="0069723B">
        <w:rPr>
          <w:sz w:val="20"/>
          <w:szCs w:val="20"/>
          <w:u w:val="none"/>
          <w:lang w:val="it-IT"/>
        </w:rPr>
        <w:t>gli OSE in cui nessuna istanza del software è in esecuzione,</w:t>
      </w:r>
    </w:p>
    <w:p w:rsidR="00A131A4" w:rsidRPr="00AD704B" w:rsidRDefault="00A131A4" w:rsidP="00A131A4">
      <w:pPr>
        <w:pStyle w:val="Bullet4Underlined"/>
        <w:rPr>
          <w:sz w:val="20"/>
          <w:szCs w:val="20"/>
          <w:lang w:val="pt-PT"/>
        </w:rPr>
      </w:pPr>
      <w:r w:rsidRPr="0069723B">
        <w:rPr>
          <w:sz w:val="20"/>
          <w:szCs w:val="20"/>
          <w:u w:val="none"/>
          <w:lang w:val="it-IT"/>
        </w:rPr>
        <w:t>i dispositivi che funzionano solo come dispositivi dell'infrastruttura di rete (livello OSI 3</w:t>
      </w:r>
      <w:r>
        <w:rPr>
          <w:sz w:val="20"/>
          <w:szCs w:val="20"/>
          <w:u w:val="none"/>
          <w:lang w:val="it-IT"/>
        </w:rPr>
        <w:t> </w:t>
      </w:r>
      <w:r w:rsidRPr="0069723B">
        <w:rPr>
          <w:sz w:val="20"/>
          <w:szCs w:val="20"/>
          <w:u w:val="none"/>
          <w:lang w:val="it-IT"/>
        </w:rPr>
        <w:t>o inferiore) oppure</w:t>
      </w:r>
    </w:p>
    <w:p w:rsidR="00A131A4" w:rsidRPr="0069723B" w:rsidRDefault="00A131A4" w:rsidP="00A131A4">
      <w:pPr>
        <w:pStyle w:val="Bullet4Underlined"/>
        <w:rPr>
          <w:sz w:val="20"/>
          <w:szCs w:val="20"/>
        </w:rPr>
      </w:pPr>
      <w:r w:rsidRPr="0069723B">
        <w:rPr>
          <w:sz w:val="20"/>
          <w:szCs w:val="20"/>
          <w:u w:val="none"/>
          <w:lang w:val="it-IT"/>
        </w:rPr>
        <w:t>i dispositivi per i quali il licenziatario esegue in esclusiva una gestione out of band.</w:t>
      </w:r>
    </w:p>
    <w:p w:rsidR="00A131A4" w:rsidRPr="0069723B" w:rsidRDefault="00A131A4" w:rsidP="00A131A4">
      <w:pPr>
        <w:pStyle w:val="Bullet4Underlined"/>
        <w:numPr>
          <w:ilvl w:val="0"/>
          <w:numId w:val="0"/>
        </w:numPr>
        <w:ind w:left="1080"/>
        <w:rPr>
          <w:sz w:val="20"/>
          <w:szCs w:val="20"/>
        </w:rPr>
      </w:pPr>
      <w:r w:rsidRPr="0069723B">
        <w:rPr>
          <w:sz w:val="20"/>
          <w:szCs w:val="20"/>
          <w:u w:val="none"/>
          <w:lang w:val="it-IT"/>
        </w:rPr>
        <w:t>La gestione “out of band” consiste nell'interazione tramite una connessione di rete con un</w:t>
      </w:r>
      <w:r>
        <w:rPr>
          <w:sz w:val="20"/>
          <w:szCs w:val="20"/>
          <w:u w:val="none"/>
          <w:lang w:val="it-IT"/>
        </w:rPr>
        <w:t> </w:t>
      </w:r>
      <w:r w:rsidRPr="0069723B">
        <w:rPr>
          <w:sz w:val="20"/>
          <w:szCs w:val="20"/>
          <w:u w:val="none"/>
          <w:lang w:val="it-IT"/>
        </w:rPr>
        <w:t>controller di gestione dell'hardware per monitorare o gestire lo stato dei componenti hardware, quali:</w:t>
      </w:r>
    </w:p>
    <w:p w:rsidR="00A131A4" w:rsidRPr="0069723B" w:rsidRDefault="00A131A4" w:rsidP="00A131A4">
      <w:pPr>
        <w:pStyle w:val="Bullet4Underlined"/>
        <w:rPr>
          <w:sz w:val="20"/>
          <w:szCs w:val="20"/>
        </w:rPr>
      </w:pPr>
      <w:r w:rsidRPr="0069723B">
        <w:rPr>
          <w:sz w:val="20"/>
          <w:szCs w:val="20"/>
          <w:u w:val="none"/>
          <w:lang w:val="it-IT"/>
        </w:rPr>
        <w:t>la temperatura del sistema</w:t>
      </w:r>
    </w:p>
    <w:p w:rsidR="00A131A4" w:rsidRPr="0069723B" w:rsidRDefault="00A131A4" w:rsidP="00A131A4">
      <w:pPr>
        <w:pStyle w:val="Bullet4Underlined"/>
        <w:rPr>
          <w:sz w:val="20"/>
          <w:szCs w:val="20"/>
        </w:rPr>
      </w:pPr>
      <w:r w:rsidRPr="0069723B">
        <w:rPr>
          <w:sz w:val="20"/>
          <w:szCs w:val="20"/>
          <w:u w:val="none"/>
          <w:lang w:val="it-IT"/>
        </w:rPr>
        <w:t>la velocità della ventola</w:t>
      </w:r>
    </w:p>
    <w:p w:rsidR="00A131A4" w:rsidRPr="0069723B" w:rsidRDefault="00A131A4" w:rsidP="00A131A4">
      <w:pPr>
        <w:pStyle w:val="Bullet4Underlined"/>
        <w:rPr>
          <w:sz w:val="20"/>
          <w:szCs w:val="20"/>
        </w:rPr>
      </w:pPr>
      <w:r w:rsidRPr="0069723B">
        <w:rPr>
          <w:sz w:val="20"/>
          <w:szCs w:val="20"/>
          <w:u w:val="none"/>
          <w:lang w:val="it-IT"/>
        </w:rPr>
        <w:t>l'accensione o lo spegnimento</w:t>
      </w:r>
    </w:p>
    <w:p w:rsidR="00A131A4" w:rsidRPr="0069723B" w:rsidRDefault="00A131A4" w:rsidP="00A131A4">
      <w:pPr>
        <w:pStyle w:val="Bullet4Underlined"/>
        <w:rPr>
          <w:sz w:val="20"/>
          <w:szCs w:val="20"/>
        </w:rPr>
      </w:pPr>
      <w:r w:rsidRPr="0069723B">
        <w:rPr>
          <w:sz w:val="20"/>
          <w:szCs w:val="20"/>
          <w:u w:val="none"/>
          <w:lang w:val="it-IT"/>
        </w:rPr>
        <w:t>il ripristino del sistema</w:t>
      </w:r>
    </w:p>
    <w:p w:rsidR="00A131A4" w:rsidRPr="0069723B" w:rsidRDefault="00A131A4" w:rsidP="00A131A4">
      <w:pPr>
        <w:pStyle w:val="Bullet4Underlined"/>
        <w:rPr>
          <w:sz w:val="20"/>
          <w:szCs w:val="20"/>
        </w:rPr>
      </w:pPr>
      <w:r w:rsidRPr="0069723B">
        <w:rPr>
          <w:sz w:val="20"/>
          <w:szCs w:val="20"/>
          <w:u w:val="none"/>
          <w:lang w:val="it-IT"/>
        </w:rPr>
        <w:t>la disponibilità della CPU.</w:t>
      </w:r>
    </w:p>
    <w:p w:rsidR="00A131A4" w:rsidRPr="00F13EFD" w:rsidRDefault="00A131A4" w:rsidP="00A131A4">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Pr="00AD704B">
        <w:rPr>
          <w:rFonts w:cs="Tahoma"/>
          <w:sz w:val="20"/>
          <w:lang w:val="de-DE"/>
        </w:rPr>
        <w:t xml:space="preserve"> </w:t>
      </w:r>
      <w:r w:rsidRPr="0069723B">
        <w:rPr>
          <w:rFonts w:cs="Tahoma"/>
          <w:b w:val="0"/>
          <w:sz w:val="20"/>
          <w:lang w:val="it-IT"/>
        </w:rPr>
        <w:t>Il licenziatario potrà:</w:t>
      </w:r>
    </w:p>
    <w:p w:rsidR="00A131A4" w:rsidRPr="00F13EFD" w:rsidRDefault="00A131A4" w:rsidP="00A131A4">
      <w:pPr>
        <w:pStyle w:val="Bullet4"/>
        <w:tabs>
          <w:tab w:val="clear" w:pos="1437"/>
        </w:tabs>
        <w:rPr>
          <w:sz w:val="20"/>
          <w:szCs w:val="20"/>
          <w:lang w:val="es-ES"/>
        </w:rPr>
      </w:pPr>
      <w:r w:rsidRPr="00F13EFD">
        <w:rPr>
          <w:sz w:val="20"/>
          <w:szCs w:val="20"/>
          <w:lang w:val="es-ES"/>
        </w:rPr>
        <w:tab/>
      </w:r>
      <w:r w:rsidRPr="0069723B">
        <w:rPr>
          <w:sz w:val="20"/>
          <w:szCs w:val="20"/>
          <w:lang w:val="it-IT"/>
        </w:rPr>
        <w:t>riassegnare in modo permanente una licenza di gestione da un dispositivo a un altro o</w:t>
      </w:r>
      <w:r>
        <w:rPr>
          <w:sz w:val="20"/>
          <w:szCs w:val="20"/>
          <w:lang w:val="it-IT"/>
        </w:rPr>
        <w:t> </w:t>
      </w:r>
      <w:r w:rsidRPr="0069723B">
        <w:rPr>
          <w:sz w:val="20"/>
          <w:szCs w:val="20"/>
          <w:lang w:val="it-IT"/>
        </w:rPr>
        <w:t>da</w:t>
      </w:r>
      <w:r>
        <w:rPr>
          <w:sz w:val="20"/>
          <w:szCs w:val="20"/>
          <w:lang w:val="it-IT"/>
        </w:rPr>
        <w:t> </w:t>
      </w:r>
      <w:r w:rsidRPr="0069723B">
        <w:rPr>
          <w:sz w:val="20"/>
          <w:szCs w:val="20"/>
          <w:lang w:val="it-IT"/>
        </w:rPr>
        <w:t>un utente a un altro, ovvero</w:t>
      </w:r>
    </w:p>
    <w:p w:rsidR="00A131A4" w:rsidRPr="00F13EFD" w:rsidRDefault="00A131A4" w:rsidP="00A131A4">
      <w:pPr>
        <w:pStyle w:val="Bullet4"/>
        <w:tabs>
          <w:tab w:val="clear" w:pos="1437"/>
        </w:tabs>
        <w:rPr>
          <w:sz w:val="20"/>
          <w:szCs w:val="20"/>
          <w:lang w:val="es-ES"/>
        </w:rPr>
      </w:pPr>
      <w:r w:rsidRPr="00F13EFD">
        <w:rPr>
          <w:sz w:val="20"/>
          <w:szCs w:val="20"/>
          <w:lang w:val="es-ES"/>
        </w:rPr>
        <w:tab/>
      </w:r>
      <w:r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A131A4" w:rsidRPr="00F13EFD" w:rsidRDefault="00A131A4" w:rsidP="00A131A4">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Pr="00AD704B">
        <w:rPr>
          <w:rFonts w:cs="Tahoma"/>
          <w:sz w:val="20"/>
          <w:lang w:val="es-ES"/>
        </w:rPr>
        <w:t xml:space="preserve"> </w:t>
      </w:r>
      <w:r w:rsidRPr="0069723B">
        <w:rPr>
          <w:rFonts w:cs="Tahoma"/>
          <w:b w:val="0"/>
          <w:sz w:val="20"/>
          <w:lang w:val="it-IT"/>
        </w:rPr>
        <w:t xml:space="preserve">Le licenze di gestione per System Center 2012 consentono al licenziatario la gestione tramite istanze di versioni precedenti </w:t>
      </w:r>
      <w:r w:rsidRPr="0069723B">
        <w:rPr>
          <w:rFonts w:cs="Tahoma"/>
          <w:b w:val="0"/>
          <w:spacing w:val="3"/>
          <w:sz w:val="20"/>
          <w:lang w:val="it-IT"/>
        </w:rPr>
        <w:t>e con licenza separata del Software Server (ma non versioni successive).</w:t>
      </w:r>
      <w:r w:rsidRPr="00F13EFD">
        <w:rPr>
          <w:rFonts w:cs="Tahoma"/>
          <w:b w:val="0"/>
          <w:spacing w:val="3"/>
          <w:sz w:val="20"/>
          <w:lang w:val="es-ES"/>
        </w:rPr>
        <w:t xml:space="preserve"> </w:t>
      </w:r>
      <w:r w:rsidRPr="0069723B">
        <w:rPr>
          <w:rFonts w:cs="Tahoma"/>
          <w:b w:val="0"/>
          <w:spacing w:val="3"/>
          <w:sz w:val="20"/>
          <w:lang w:val="it-IT"/>
        </w:rPr>
        <w:t>Nonostante eventuali disposizioni contrarie contenute nelle condizioni di licenza della versione</w:t>
      </w:r>
      <w:r w:rsidRPr="0069723B">
        <w:rPr>
          <w:rFonts w:cs="Tahoma"/>
          <w:b w:val="0"/>
          <w:sz w:val="20"/>
          <w:lang w:val="it-IT"/>
        </w:rPr>
        <w:t xml:space="preserve"> precedente e con licenza separata del Software Server, l'utilizzo da parte del licenziatario di tale versione precedente per gestire gli OSE sui dispositivi a cui ha ceduto le licenze di </w:t>
      </w:r>
      <w:r w:rsidRPr="0069723B">
        <w:rPr>
          <w:rFonts w:cs="Tahoma"/>
          <w:b w:val="0"/>
          <w:spacing w:val="3"/>
          <w:sz w:val="20"/>
          <w:lang w:val="it-IT"/>
        </w:rPr>
        <w:t>gestione per System Center 2012 è disciplinato dalle presenti condizioni di licenza per</w:t>
      </w:r>
      <w:r w:rsidRPr="0069723B">
        <w:rPr>
          <w:rFonts w:cs="Tahoma"/>
          <w:b w:val="0"/>
          <w:sz w:val="20"/>
          <w:lang w:val="it-IT"/>
        </w:rPr>
        <w:t xml:space="preserve"> System  Center 2012.</w:t>
      </w:r>
      <w:r w:rsidRPr="00F13EFD">
        <w:rPr>
          <w:rFonts w:cs="Tahoma"/>
          <w:sz w:val="20"/>
          <w:lang w:val="es-ES"/>
        </w:rPr>
        <w:t xml:space="preserve"> </w:t>
      </w:r>
      <w:r w:rsidRPr="0069723B">
        <w:rPr>
          <w:rFonts w:cs="Tahoma"/>
          <w:b w:val="0"/>
          <w:sz w:val="20"/>
          <w:lang w:val="it-IT"/>
        </w:rPr>
        <w:t xml:space="preserve">Nel caso in cui il licenziatario esegua una versione precedente del Software Server ai sensi delle presenti condizioni di licenza per System Center 2012, potrà </w:t>
      </w:r>
      <w:r w:rsidRPr="0069723B">
        <w:rPr>
          <w:rFonts w:cs="Tahoma"/>
          <w:b w:val="0"/>
          <w:spacing w:val="3"/>
          <w:sz w:val="20"/>
          <w:lang w:val="it-IT"/>
        </w:rPr>
        <w:t>utilizzare le licenze di gestione corrispondenti a tale versione precedente.</w:t>
      </w:r>
      <w:r w:rsidRPr="00F13EFD">
        <w:rPr>
          <w:rFonts w:cs="Tahoma"/>
          <w:b w:val="0"/>
          <w:spacing w:val="3"/>
          <w:sz w:val="20"/>
          <w:lang w:val="es-ES"/>
        </w:rPr>
        <w:t xml:space="preserve"> </w:t>
      </w:r>
      <w:r w:rsidRPr="0069723B">
        <w:rPr>
          <w:rFonts w:cs="Tahoma"/>
          <w:b w:val="0"/>
          <w:spacing w:val="3"/>
          <w:sz w:val="20"/>
          <w:lang w:val="it-IT"/>
        </w:rPr>
        <w:t>Nonostante</w:t>
      </w:r>
      <w:r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Pr="0069723B">
        <w:rPr>
          <w:rFonts w:cs="Tahoma"/>
          <w:b w:val="0"/>
          <w:spacing w:val="3"/>
          <w:sz w:val="20"/>
          <w:lang w:val="it-IT"/>
        </w:rPr>
        <w:t>gli OSE sui dispositivi a cui ha ceduto le versioni precedenti delle licenze di gestione</w:t>
      </w:r>
      <w:r w:rsidRPr="0069723B">
        <w:rPr>
          <w:rFonts w:cs="Tahoma"/>
          <w:b w:val="0"/>
          <w:sz w:val="20"/>
          <w:lang w:val="it-IT"/>
        </w:rPr>
        <w:t xml:space="preserve"> è disciplinato dalle condizioni di licenza di tali versioni precedenti del Software Server.</w:t>
      </w:r>
    </w:p>
    <w:p w:rsidR="00A131A4" w:rsidRPr="00F13EFD" w:rsidRDefault="00A131A4" w:rsidP="00A131A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A131A4" w:rsidRPr="00F13EFD" w:rsidRDefault="00A131A4" w:rsidP="00A131A4">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Pr="0069723B">
        <w:rPr>
          <w:rFonts w:cs="Tahoma"/>
          <w:sz w:val="20"/>
          <w:lang w:val="it-IT"/>
        </w:rPr>
        <w:t>Il licenziatario potrà, in ogni dato momento, eseguire una istanza del Software Server su uno o più server.</w:t>
      </w:r>
    </w:p>
    <w:p w:rsidR="00A131A4" w:rsidRPr="007073BE" w:rsidRDefault="00A131A4" w:rsidP="00A131A4">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Pr="0069723B">
        <w:rPr>
          <w:rFonts w:cs="Tahoma"/>
          <w:spacing w:val="-2"/>
          <w:sz w:val="20"/>
          <w:lang w:val="it-IT"/>
        </w:rPr>
        <w:t>Il licenziatario potrà eseguire o altrimenti</w:t>
      </w:r>
      <w:r w:rsidRPr="0069723B">
        <w:rPr>
          <w:rFonts w:cs="Tahoma"/>
          <w:sz w:val="20"/>
          <w:lang w:val="it-IT"/>
        </w:rPr>
        <w:t xml:space="preserve"> </w:t>
      </w:r>
      <w:r w:rsidRPr="0069723B">
        <w:rPr>
          <w:rFonts w:cs="Tahoma"/>
          <w:spacing w:val="-2"/>
          <w:sz w:val="20"/>
          <w:lang w:val="it-IT"/>
        </w:rPr>
        <w:t>utilizzare un numero qualsiasi di istanze del software aggiuntivo elencato nell'Addendum A del</w:t>
      </w:r>
      <w:r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Pr="0069723B">
        <w:rPr>
          <w:rFonts w:cs="Tahoma"/>
          <w:sz w:val="20"/>
          <w:lang w:val="it-IT"/>
        </w:rPr>
        <w:t>Il licenziatario potrà utilizzare software aggiuntivo esclusivamente con il Software Server direttamente o indirettamente tramite altro software aggiuntivo.</w:t>
      </w:r>
      <w:r w:rsidRPr="007073BE">
        <w:rPr>
          <w:rFonts w:cs="Tahoma"/>
          <w:sz w:val="20"/>
          <w:lang w:val="es-ES"/>
        </w:rPr>
        <w:t xml:space="preserve"> </w:t>
      </w:r>
    </w:p>
    <w:p w:rsidR="00A131A4" w:rsidRPr="00AD704B" w:rsidRDefault="00A131A4" w:rsidP="00A131A4">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Pr="0069723B">
        <w:rPr>
          <w:rFonts w:cs="Tahoma"/>
          <w:spacing w:val="-2"/>
          <w:sz w:val="20"/>
          <w:lang w:val="it-IT"/>
        </w:rPr>
        <w:t>Il licenziatario potrà creare un numero qualsiasi di istanze del Software Server</w:t>
      </w:r>
      <w:r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A131A4" w:rsidRPr="00AD704B" w:rsidRDefault="00A131A4" w:rsidP="00A131A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Pr="00AD704B">
        <w:rPr>
          <w:rFonts w:cs="Tahoma"/>
          <w:sz w:val="20"/>
          <w:szCs w:val="20"/>
          <w:lang w:val="pt-PT"/>
        </w:rPr>
        <w:t xml:space="preserve"> </w:t>
      </w:r>
      <w:r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Pr="00AD704B">
        <w:rPr>
          <w:rFonts w:cs="Tahoma"/>
          <w:sz w:val="20"/>
          <w:szCs w:val="20"/>
          <w:lang w:val="pt-PT"/>
        </w:rPr>
        <w:t xml:space="preserve"> </w:t>
      </w:r>
      <w:r w:rsidRPr="0069723B">
        <w:rPr>
          <w:rFonts w:cs="Tahoma"/>
          <w:b w:val="0"/>
          <w:sz w:val="20"/>
          <w:szCs w:val="20"/>
          <w:lang w:val="it-IT"/>
        </w:rPr>
        <w:t>Qualora il licenziatario non accetti tali condizioni, non dovrà utilizzare i</w:t>
      </w:r>
      <w:r>
        <w:rPr>
          <w:rFonts w:cs="Tahoma"/>
          <w:b w:val="0"/>
          <w:sz w:val="20"/>
          <w:szCs w:val="20"/>
          <w:lang w:val="it-IT"/>
        </w:rPr>
        <w:t> </w:t>
      </w:r>
      <w:r w:rsidRPr="0069723B">
        <w:rPr>
          <w:rFonts w:cs="Tahoma"/>
          <w:b w:val="0"/>
          <w:sz w:val="20"/>
          <w:szCs w:val="20"/>
          <w:lang w:val="it-IT"/>
        </w:rPr>
        <w:t>programmi.</w:t>
      </w:r>
    </w:p>
    <w:p w:rsidR="00A131A4" w:rsidRPr="0069723B" w:rsidRDefault="00A131A4" w:rsidP="00A131A4">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A131A4" w:rsidRPr="0069723B" w:rsidRDefault="00A131A4" w:rsidP="00A131A4">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A131A4" w:rsidRPr="0069723B" w:rsidRDefault="00A131A4" w:rsidP="00A131A4">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A131A4" w:rsidRPr="0069723B" w:rsidRDefault="00A131A4" w:rsidP="00A131A4">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A131A4" w:rsidRPr="00AD704B" w:rsidRDefault="00A131A4" w:rsidP="00A131A4">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A131A4" w:rsidRPr="00AD704B" w:rsidRDefault="00A131A4" w:rsidP="00A131A4">
      <w:pPr>
        <w:ind w:left="720"/>
        <w:rPr>
          <w:sz w:val="20"/>
          <w:szCs w:val="20"/>
          <w:lang w:val="pt-PT"/>
        </w:rPr>
      </w:pPr>
      <w:r w:rsidRPr="0069723B">
        <w:rPr>
          <w:sz w:val="20"/>
          <w:szCs w:val="20"/>
          <w:lang w:val="it-IT"/>
        </w:rPr>
        <w:t>Il software potrebbe inoltre contenere altri programmi Microsoft.</w:t>
      </w:r>
      <w:r w:rsidRPr="007073BE">
        <w:rPr>
          <w:sz w:val="20"/>
          <w:szCs w:val="20"/>
          <w:lang w:val="fr-FR"/>
        </w:rPr>
        <w:t xml:space="preserve"> </w:t>
      </w:r>
      <w:r w:rsidRPr="0069723B">
        <w:rPr>
          <w:sz w:val="20"/>
          <w:szCs w:val="20"/>
          <w:lang w:val="it-IT"/>
        </w:rPr>
        <w:t>Le condizioni del presente contratto di licenza sono applicabili anche all'utilizzo da parte del licenziatario di tali programmi.</w:t>
      </w:r>
    </w:p>
    <w:p w:rsidR="00A131A4" w:rsidRPr="00AD704B" w:rsidRDefault="00A131A4" w:rsidP="00A131A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Pr="00AD704B">
        <w:rPr>
          <w:rFonts w:cs="Tahoma"/>
          <w:sz w:val="20"/>
          <w:szCs w:val="20"/>
          <w:lang w:val="pt-PT"/>
        </w:rPr>
        <w:t xml:space="preserve"> </w:t>
      </w:r>
      <w:r w:rsidRPr="0069723B">
        <w:rPr>
          <w:rFonts w:cs="Tahoma"/>
          <w:b w:val="0"/>
          <w:sz w:val="20"/>
          <w:szCs w:val="20"/>
          <w:lang w:val="it-IT"/>
        </w:rPr>
        <w:t>Le condizioni di licenza fornite per tali programmi saranno applicabili anche all'utilizzo degli stessi da parte del licenziatario.</w:t>
      </w:r>
    </w:p>
    <w:p w:rsidR="00A131A4" w:rsidRPr="00AD704B" w:rsidRDefault="00A131A4" w:rsidP="00A131A4">
      <w:pPr>
        <w:pStyle w:val="Heading1"/>
        <w:rPr>
          <w:rFonts w:cs="Tahoma"/>
          <w:sz w:val="20"/>
          <w:lang w:val="pt-PT"/>
        </w:rPr>
      </w:pPr>
      <w:r w:rsidRPr="0069723B">
        <w:rPr>
          <w:rFonts w:cs="Tahoma"/>
          <w:sz w:val="20"/>
          <w:lang w:val="it-IT"/>
        </w:rPr>
        <w:t>REQUISITI AGGIUNTIVI PER LE LICENZE E/O DIRITTI SULL'UTILIZZO.</w:t>
      </w:r>
    </w:p>
    <w:p w:rsidR="00A131A4" w:rsidRPr="0069723B" w:rsidRDefault="00A131A4" w:rsidP="00A131A4">
      <w:pPr>
        <w:pStyle w:val="Heading2"/>
        <w:tabs>
          <w:tab w:val="clear" w:pos="903"/>
        </w:tabs>
        <w:ind w:left="720" w:hanging="360"/>
        <w:rPr>
          <w:rFonts w:cs="Tahoma"/>
          <w:sz w:val="20"/>
          <w:szCs w:val="20"/>
        </w:rPr>
      </w:pPr>
      <w:r w:rsidRPr="0069723B">
        <w:rPr>
          <w:rFonts w:cs="Tahoma"/>
          <w:sz w:val="20"/>
          <w:szCs w:val="20"/>
          <w:lang w:val="it-IT"/>
        </w:rPr>
        <w:t>Multiplexing.</w:t>
      </w:r>
      <w:r w:rsidRPr="0069723B">
        <w:rPr>
          <w:rFonts w:cs="Tahoma"/>
          <w:sz w:val="20"/>
          <w:szCs w:val="20"/>
        </w:rPr>
        <w:t xml:space="preserve"> </w:t>
      </w:r>
      <w:r w:rsidRPr="0069723B">
        <w:rPr>
          <w:rFonts w:cs="Tahoma"/>
          <w:b w:val="0"/>
          <w:sz w:val="20"/>
          <w:szCs w:val="20"/>
          <w:lang w:val="it-IT"/>
        </w:rPr>
        <w:t>L'hardware o il software utilizzato dal licenziatario per</w:t>
      </w:r>
    </w:p>
    <w:p w:rsidR="00A131A4" w:rsidRPr="0069723B" w:rsidRDefault="00A131A4" w:rsidP="00A131A4">
      <w:pPr>
        <w:pStyle w:val="Bullet3"/>
        <w:rPr>
          <w:rFonts w:cs="Tahoma"/>
          <w:sz w:val="20"/>
        </w:rPr>
      </w:pPr>
      <w:r w:rsidRPr="0069723B">
        <w:rPr>
          <w:rFonts w:cs="Tahoma"/>
          <w:sz w:val="20"/>
          <w:lang w:val="it-IT"/>
        </w:rPr>
        <w:t>raggruppare le connessioni,</w:t>
      </w:r>
    </w:p>
    <w:p w:rsidR="00A131A4" w:rsidRPr="0069723B" w:rsidRDefault="00A131A4" w:rsidP="00A131A4">
      <w:pPr>
        <w:pStyle w:val="Bullet3"/>
        <w:rPr>
          <w:rFonts w:cs="Tahoma"/>
          <w:sz w:val="20"/>
        </w:rPr>
      </w:pPr>
      <w:r w:rsidRPr="0069723B">
        <w:rPr>
          <w:rFonts w:cs="Tahoma"/>
          <w:sz w:val="20"/>
          <w:lang w:val="it-IT"/>
        </w:rPr>
        <w:t>reindirizzare le informazioni oppure</w:t>
      </w:r>
    </w:p>
    <w:p w:rsidR="00A131A4" w:rsidRPr="007073BE" w:rsidRDefault="00A131A4" w:rsidP="00A131A4">
      <w:pPr>
        <w:pStyle w:val="Bullet3"/>
        <w:rPr>
          <w:rFonts w:cs="Tahoma"/>
          <w:sz w:val="20"/>
          <w:lang w:val="fr-FR"/>
        </w:rPr>
      </w:pPr>
      <w:r w:rsidRPr="0069723B">
        <w:rPr>
          <w:rFonts w:cs="Tahoma"/>
          <w:sz w:val="20"/>
          <w:lang w:val="it-IT"/>
        </w:rPr>
        <w:t>ridurre il numero di OSE che il software gestisce</w:t>
      </w:r>
    </w:p>
    <w:p w:rsidR="00A131A4" w:rsidRPr="00AD704B" w:rsidRDefault="00A131A4" w:rsidP="00A131A4">
      <w:pPr>
        <w:pStyle w:val="Body2"/>
        <w:rPr>
          <w:lang w:val="pt-PT"/>
        </w:rPr>
      </w:pPr>
      <w:r w:rsidRPr="0069723B">
        <w:rPr>
          <w:sz w:val="20"/>
          <w:lang w:val="it-IT"/>
        </w:rPr>
        <w:t>(talvolta indicato come “multiplexing” o “pooling”), non riduce il numero di licenze di qualsiasi tipo che sono necessarie.</w:t>
      </w:r>
    </w:p>
    <w:p w:rsidR="00A131A4" w:rsidRPr="00AD704B" w:rsidRDefault="00A131A4" w:rsidP="00A131A4">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Pr="00AD704B">
        <w:rPr>
          <w:rFonts w:cs="Tahoma"/>
          <w:spacing w:val="2"/>
          <w:sz w:val="20"/>
          <w:szCs w:val="20"/>
          <w:lang w:val="pt-PT"/>
        </w:rPr>
        <w:t xml:space="preserve"> </w:t>
      </w:r>
      <w:r w:rsidRPr="0069723B">
        <w:rPr>
          <w:rFonts w:cs="Tahoma"/>
          <w:b w:val="0"/>
          <w:spacing w:val="2"/>
          <w:sz w:val="20"/>
          <w:szCs w:val="20"/>
          <w:lang w:val="it-IT"/>
        </w:rPr>
        <w:t>Il Software Server include la</w:t>
      </w:r>
      <w:r>
        <w:rPr>
          <w:rFonts w:cs="Tahoma"/>
          <w:b w:val="0"/>
          <w:spacing w:val="2"/>
          <w:sz w:val="20"/>
          <w:szCs w:val="20"/>
          <w:lang w:val="it-IT"/>
        </w:rPr>
        <w:t> </w:t>
      </w:r>
      <w:r w:rsidRPr="0069723B">
        <w:rPr>
          <w:rFonts w:cs="Tahoma"/>
          <w:b w:val="0"/>
          <w:spacing w:val="2"/>
          <w:sz w:val="20"/>
          <w:szCs w:val="20"/>
          <w:lang w:val="it-IT"/>
        </w:rPr>
        <w:t>Tecnologia SQL Server.</w:t>
      </w:r>
      <w:r w:rsidRPr="00AD704B">
        <w:rPr>
          <w:rFonts w:cs="Tahoma"/>
          <w:spacing w:val="2"/>
          <w:sz w:val="20"/>
          <w:szCs w:val="20"/>
          <w:lang w:val="pt-PT"/>
        </w:rPr>
        <w:t xml:space="preserve"> </w:t>
      </w:r>
      <w:r w:rsidRPr="0069723B">
        <w:rPr>
          <w:rFonts w:cs="Tahoma"/>
          <w:b w:val="0"/>
          <w:spacing w:val="2"/>
          <w:sz w:val="20"/>
          <w:szCs w:val="20"/>
          <w:lang w:val="it-IT"/>
        </w:rPr>
        <w:t>Il licenziatario potrà eseguire ogni singola volta un'istanza della</w:t>
      </w:r>
      <w:r w:rsidRPr="0069723B">
        <w:rPr>
          <w:rFonts w:cs="Tahoma"/>
          <w:b w:val="0"/>
          <w:sz w:val="20"/>
          <w:szCs w:val="20"/>
          <w:lang w:val="it-IT"/>
        </w:rPr>
        <w:t xml:space="preserve"> tecnologia in un ambiente fisico o virtuale del sistema operativo su un server esclusivamente per supportare il software server.</w:t>
      </w:r>
      <w:r w:rsidRPr="00AD704B">
        <w:rPr>
          <w:rFonts w:cs="Tahoma"/>
          <w:sz w:val="20"/>
          <w:szCs w:val="20"/>
          <w:lang w:val="pt-PT"/>
        </w:rPr>
        <w:t xml:space="preserve"> </w:t>
      </w:r>
      <w:r w:rsidRPr="0069723B">
        <w:rPr>
          <w:rFonts w:cs="Tahoma"/>
          <w:b w:val="0"/>
          <w:sz w:val="20"/>
          <w:szCs w:val="20"/>
          <w:lang w:val="it-IT"/>
        </w:rPr>
        <w:t>Il licenziatario non dovrà disporre di CAL per SQL Server ai fini di tale uso.</w:t>
      </w:r>
      <w:r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 Tecnologia SQL Server sui propri server o supporti di memorizzazione esclusivamente per esercitare il proprio diritto a eseguire un'istanza della Tecnologia SQL Server ai sensi di una delle proprie licenze software.</w:t>
      </w:r>
    </w:p>
    <w:p w:rsidR="00A131A4" w:rsidRPr="00AD704B" w:rsidRDefault="00A131A4" w:rsidP="00A131A4">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Pr="0069723B">
        <w:rPr>
          <w:rFonts w:cs="Tahoma"/>
          <w:b w:val="0"/>
          <w:sz w:val="20"/>
          <w:szCs w:val="20"/>
          <w:lang w:val="it-IT"/>
        </w:rPr>
        <w:t>Il software contiene pacchetti di gestione, inclusi, a titolo esemplificativo, Management Pack, Configuration Pack e Integration Pack.</w:t>
      </w:r>
      <w:r w:rsidRPr="00AD704B">
        <w:rPr>
          <w:rFonts w:cs="Tahoma"/>
          <w:sz w:val="20"/>
          <w:szCs w:val="20"/>
          <w:lang w:val="pt-PT"/>
        </w:rPr>
        <w:t xml:space="preserve"> </w:t>
      </w:r>
      <w:r w:rsidRPr="0069723B">
        <w:rPr>
          <w:rFonts w:cs="Tahoma"/>
          <w:b w:val="0"/>
          <w:sz w:val="20"/>
          <w:szCs w:val="20"/>
          <w:lang w:val="it-IT"/>
        </w:rPr>
        <w:t>Tali pacchetti costituiscono “Software Aggiuntivo” e al relativo utilizzo si applicano le condizioni di licenza di cui all'Articolo 2.b.ii precedente.</w:t>
      </w:r>
    </w:p>
    <w:p w:rsidR="00A131A4" w:rsidRPr="0069723B" w:rsidRDefault="00A131A4" w:rsidP="00A131A4">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Pr="007073BE">
        <w:rPr>
          <w:rFonts w:cs="Tahoma"/>
          <w:b w:val="0"/>
          <w:sz w:val="20"/>
          <w:szCs w:val="20"/>
          <w:lang w:val="pt-PT"/>
        </w:rPr>
        <w:t xml:space="preserve"> </w:t>
      </w:r>
      <w:r w:rsidRPr="0069723B">
        <w:rPr>
          <w:rFonts w:cs="Tahoma"/>
          <w:b w:val="0"/>
          <w:sz w:val="20"/>
          <w:szCs w:val="20"/>
          <w:lang w:val="it-IT"/>
        </w:rPr>
        <w:t>È possibile che si applichino altre condizioni e tariffe.</w:t>
      </w:r>
    </w:p>
    <w:p w:rsidR="00A131A4" w:rsidRPr="00AD704B" w:rsidRDefault="00A131A4" w:rsidP="00A131A4">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Pr="0069723B">
        <w:rPr>
          <w:rFonts w:cs="Tahoma"/>
          <w:sz w:val="20"/>
          <w:szCs w:val="20"/>
        </w:rPr>
        <w:t xml:space="preserve"> </w:t>
      </w:r>
      <w:r w:rsidRPr="0069723B">
        <w:rPr>
          <w:rFonts w:cs="Tahoma"/>
          <w:b w:val="0"/>
          <w:sz w:val="20"/>
          <w:szCs w:val="20"/>
          <w:lang w:val="it-IT"/>
        </w:rPr>
        <w:t>Il Software Server include una funzionalità in grado di recuperare contenuti, quali mappe, immagini e altri dati attraverso l'Application Programming Interface di Bing Maps (o marchi successivi) (“API di Bing Maps”).</w:t>
      </w:r>
      <w:r w:rsidRPr="0069723B">
        <w:rPr>
          <w:rFonts w:cs="Tahoma"/>
          <w:b w:val="0"/>
          <w:sz w:val="20"/>
          <w:szCs w:val="20"/>
        </w:rPr>
        <w:t xml:space="preserve"> </w:t>
      </w:r>
      <w:r w:rsidRPr="0069723B">
        <w:rPr>
          <w:rFonts w:cs="Tahoma"/>
          <w:b w:val="0"/>
          <w:sz w:val="20"/>
          <w:szCs w:val="20"/>
          <w:lang w:val="it-IT"/>
        </w:rPr>
        <w:t xml:space="preserve">Lo scopo </w:t>
      </w:r>
      <w:r w:rsidRPr="0069723B">
        <w:rPr>
          <w:rFonts w:cs="Tahoma"/>
          <w:b w:val="0"/>
          <w:spacing w:val="3"/>
          <w:sz w:val="20"/>
          <w:szCs w:val="20"/>
          <w:lang w:val="it-IT"/>
        </w:rPr>
        <w:t>di tale funzionalità è la visualizzazione di dati di siti su mappe e immagini aeree e ibride.</w:t>
      </w:r>
      <w:r w:rsidRPr="00AD704B">
        <w:rPr>
          <w:rFonts w:cs="Tahoma"/>
          <w:b w:val="0"/>
          <w:sz w:val="20"/>
          <w:szCs w:val="20"/>
        </w:rPr>
        <w:t xml:space="preserve"> </w:t>
      </w:r>
      <w:r w:rsidRPr="0069723B">
        <w:rPr>
          <w:rFonts w:cs="Tahoma"/>
          <w:b w:val="0"/>
          <w:spacing w:val="3"/>
          <w:sz w:val="20"/>
          <w:szCs w:val="20"/>
          <w:lang w:val="it-IT"/>
        </w:rPr>
        <w:t>Il licenziatario potrà utilizzare la funzionalità per visualizzare sullo schermo i dati dei siti o stampare un report che include tale visualizzazione.</w:t>
      </w:r>
      <w:r w:rsidRPr="00AD704B">
        <w:rPr>
          <w:rFonts w:cs="Tahoma"/>
          <w:spacing w:val="3"/>
          <w:sz w:val="20"/>
          <w:szCs w:val="20"/>
        </w:rPr>
        <w:t xml:space="preserve"> </w:t>
      </w:r>
      <w:r w:rsidRPr="0069723B">
        <w:rPr>
          <w:rFonts w:cs="Tahoma"/>
          <w:b w:val="0"/>
          <w:spacing w:val="3"/>
          <w:sz w:val="20"/>
          <w:szCs w:val="20"/>
          <w:lang w:val="it-IT"/>
        </w:rPr>
        <w:t>Tali operazioni potranno essere</w:t>
      </w:r>
      <w:r w:rsidRPr="0069723B">
        <w:rPr>
          <w:rFonts w:cs="Tahoma"/>
          <w:b w:val="0"/>
          <w:sz w:val="20"/>
          <w:szCs w:val="20"/>
          <w:lang w:val="it-IT"/>
        </w:rPr>
        <w:t xml:space="preserve"> effettuate esclusivamente in combinazione con, e attraverso metodi e modalità di accesso </w:t>
      </w:r>
      <w:r w:rsidRPr="0069723B">
        <w:rPr>
          <w:rFonts w:cs="Tahoma"/>
          <w:b w:val="0"/>
          <w:spacing w:val="3"/>
          <w:sz w:val="20"/>
          <w:szCs w:val="20"/>
          <w:lang w:val="it-IT"/>
        </w:rPr>
        <w:t>integrate nel software.</w:t>
      </w:r>
      <w:r w:rsidRPr="00AD704B">
        <w:rPr>
          <w:rFonts w:cs="Tahoma"/>
          <w:spacing w:val="3"/>
          <w:sz w:val="20"/>
          <w:szCs w:val="20"/>
        </w:rPr>
        <w:t xml:space="preserve"> </w:t>
      </w:r>
      <w:r w:rsidRPr="0069723B">
        <w:rPr>
          <w:rFonts w:cs="Tahoma"/>
          <w:b w:val="0"/>
          <w:spacing w:val="3"/>
          <w:sz w:val="20"/>
          <w:szCs w:val="20"/>
          <w:lang w:val="it-IT"/>
        </w:rPr>
        <w:t>Il licenziatario non potrà in altro modo duplicare, memorizzare, archiviare o creare un database del contenuto disponibile attraverso l'API di Bing Maps.</w:t>
      </w:r>
      <w:r w:rsidRPr="00AD704B">
        <w:rPr>
          <w:rFonts w:cs="Tahoma"/>
          <w:b w:val="0"/>
          <w:sz w:val="20"/>
          <w:szCs w:val="20"/>
        </w:rPr>
        <w:t xml:space="preserve"> </w:t>
      </w:r>
      <w:r w:rsidRPr="0069723B">
        <w:rPr>
          <w:rFonts w:cs="Tahoma"/>
          <w:b w:val="0"/>
          <w:sz w:val="20"/>
          <w:szCs w:val="20"/>
          <w:lang w:val="it-IT"/>
        </w:rPr>
        <w:t>Il licenziatario non potrà utilizzare quanto segue per alcuno scopo, anche se la funzionalità è disponibile attraverso l'API di Bing Maps:</w:t>
      </w:r>
    </w:p>
    <w:p w:rsidR="00A131A4" w:rsidRPr="00AD704B" w:rsidRDefault="00A131A4" w:rsidP="00A131A4">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A131A4" w:rsidRPr="00AD704B" w:rsidRDefault="00A131A4" w:rsidP="00A131A4">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A131A4" w:rsidRDefault="00A131A4" w:rsidP="00A131A4">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7"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A131A4" w:rsidRPr="0069723B" w:rsidRDefault="00A131A4" w:rsidP="00A131A4">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Pr>
          <w:rFonts w:cs="Tahoma"/>
          <w:b w:val="0"/>
          <w:sz w:val="20"/>
          <w:szCs w:val="20"/>
          <w:lang w:val="it-IT"/>
        </w:rPr>
        <w:t> </w:t>
      </w:r>
      <w:r w:rsidRPr="0069723B">
        <w:rPr>
          <w:rFonts w:cs="Tahoma"/>
          <w:b w:val="0"/>
          <w:sz w:val="20"/>
          <w:szCs w:val="20"/>
          <w:lang w:val="it-IT"/>
        </w:rPr>
        <w:t>condizioni di licenza riportate di seguito.</w:t>
      </w:r>
    </w:p>
    <w:p w:rsidR="00A131A4" w:rsidRPr="00AD704B" w:rsidRDefault="00A131A4" w:rsidP="00A131A4">
      <w:pPr>
        <w:pStyle w:val="Heading3"/>
        <w:tabs>
          <w:tab w:val="clear" w:pos="1077"/>
          <w:tab w:val="clear" w:pos="1440"/>
        </w:tabs>
        <w:rPr>
          <w:rFonts w:cs="Tahoma"/>
          <w:sz w:val="20"/>
        </w:rPr>
      </w:pPr>
      <w:r w:rsidRPr="0069723B">
        <w:rPr>
          <w:rFonts w:cs="Tahoma"/>
          <w:b/>
          <w:sz w:val="20"/>
          <w:lang w:val="it-IT"/>
        </w:rPr>
        <w:t>Ambiente di pre-installazione di Windows.</w:t>
      </w:r>
      <w:r w:rsidRPr="00AD704B">
        <w:rPr>
          <w:rFonts w:cs="Tahoma"/>
          <w:sz w:val="20"/>
        </w:rPr>
        <w:t xml:space="preserve"> </w:t>
      </w:r>
      <w:r w:rsidRPr="0069723B">
        <w:rPr>
          <w:rFonts w:cs="Tahoma"/>
          <w:sz w:val="20"/>
          <w:lang w:val="it-IT"/>
        </w:rPr>
        <w:t>Il licenziatario potrà installare e utilizzare il componente Ambiente di Pre-Installazione di Windows del software WAIK allo scopo di eseguire la diagnosi e il ripristino del software del sistema operativo Windows.</w:t>
      </w:r>
      <w:r w:rsidRPr="00AD704B">
        <w:rPr>
          <w:rFonts w:cs="Tahoma"/>
          <w:sz w:val="20"/>
        </w:rPr>
        <w:t xml:space="preserve"> </w:t>
      </w:r>
      <w:r w:rsidRPr="0069723B">
        <w:rPr>
          <w:rFonts w:cs="Tahoma"/>
          <w:sz w:val="20"/>
          <w:lang w:val="it-IT"/>
        </w:rPr>
        <w:t>Per evitare ogni dubbio, il licenziatario non potrà utilizzare l'Ambiente di Pre-Installazione di Windows per altri scopi, inclusi, a titolo esemplificativo, come sistema operativo generico, come thin client o come client desktop remoto.</w:t>
      </w:r>
    </w:p>
    <w:p w:rsidR="00A131A4" w:rsidRPr="00AD704B" w:rsidRDefault="00A131A4" w:rsidP="00A131A4">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Pr="0069723B">
        <w:rPr>
          <w:rFonts w:cs="Tahoma"/>
          <w:sz w:val="20"/>
          <w:lang w:val="it-IT"/>
        </w:rPr>
        <w:t>Per evitare ogni dubbio, il licenziatario non potrà utilizzare questi componenti del software WAIK per altri scopi, incluso, a titolo esemplificativo, il backup del sistema operativo Windows.</w:t>
      </w:r>
    </w:p>
    <w:p w:rsidR="00A131A4" w:rsidRPr="007073BE" w:rsidRDefault="00A131A4" w:rsidP="00A131A4">
      <w:pPr>
        <w:pStyle w:val="Heading3"/>
        <w:tabs>
          <w:tab w:val="clear" w:pos="1077"/>
          <w:tab w:val="clear" w:pos="1440"/>
        </w:tabs>
        <w:rPr>
          <w:rFonts w:cs="Tahoma"/>
          <w:sz w:val="20"/>
        </w:rPr>
      </w:pPr>
      <w:r w:rsidRPr="0069723B">
        <w:rPr>
          <w:rFonts w:cs="Tahoma"/>
          <w:b/>
          <w:spacing w:val="2"/>
          <w:sz w:val="20"/>
          <w:lang w:val="it-IT"/>
        </w:rPr>
        <w:t>Attivazione.</w:t>
      </w:r>
      <w:r w:rsidRPr="00AD704B">
        <w:rPr>
          <w:rFonts w:cs="Tahoma"/>
          <w:spacing w:val="2"/>
          <w:sz w:val="20"/>
        </w:rPr>
        <w:t xml:space="preserve"> </w:t>
      </w:r>
      <w:r w:rsidRPr="0069723B">
        <w:rPr>
          <w:rFonts w:cs="Tahoma"/>
          <w:spacing w:val="2"/>
          <w:sz w:val="20"/>
          <w:lang w:val="it-IT"/>
        </w:rPr>
        <w:t>L'installazione dello strumento di gestione dei contratti multilicenza</w:t>
      </w:r>
      <w:r w:rsidRPr="0069723B">
        <w:rPr>
          <w:rFonts w:cs="Tahoma"/>
          <w:sz w:val="20"/>
          <w:lang w:val="it-IT"/>
        </w:rPr>
        <w:t xml:space="preserve"> (“VAMT”) da parte del licenziatario potrebbe attivare l'utilizzo di Windows Server 2008, Windows Vista, </w:t>
      </w:r>
      <w:r w:rsidRPr="0069723B">
        <w:rPr>
          <w:rFonts w:cs="Tahoma"/>
          <w:spacing w:val="-2"/>
          <w:sz w:val="20"/>
          <w:lang w:val="it-IT"/>
        </w:rPr>
        <w:t xml:space="preserve">Windows Server 2008-R2 o Windows 7 con uno specifico sistema hardware </w:t>
      </w:r>
      <w:r w:rsidRPr="0069723B">
        <w:rPr>
          <w:rFonts w:cs="Tahoma"/>
          <w:spacing w:val="2"/>
          <w:sz w:val="20"/>
          <w:lang w:val="it-IT"/>
        </w:rPr>
        <w:t>fisico (“Dispositivo”).</w:t>
      </w:r>
      <w:r w:rsidRPr="00AD704B">
        <w:rPr>
          <w:rFonts w:cs="Tahoma"/>
          <w:spacing w:val="2"/>
          <w:sz w:val="20"/>
        </w:rPr>
        <w:t xml:space="preserve"> </w:t>
      </w:r>
      <w:r w:rsidRPr="0069723B">
        <w:rPr>
          <w:rFonts w:cs="Tahoma"/>
          <w:spacing w:val="2"/>
          <w:sz w:val="20"/>
          <w:lang w:val="it-IT"/>
        </w:rPr>
        <w:t>Durante l'attivazione VAMT invierà a Microsoft informazioni su Windows Server 2008, Windows Vista, Windows Server 2008-R2 o Windows 7 e sul</w:t>
      </w:r>
      <w:r w:rsidRPr="0069723B">
        <w:rPr>
          <w:rFonts w:cs="Tahoma"/>
          <w:sz w:val="20"/>
          <w:lang w:val="it-IT"/>
        </w:rPr>
        <w:t xml:space="preserve"> Dispositivo o sui Dispositivi.</w:t>
      </w:r>
      <w:r w:rsidRPr="007073BE">
        <w:rPr>
          <w:rFonts w:cs="Tahoma"/>
          <w:sz w:val="20"/>
        </w:rPr>
        <w:t xml:space="preserve"> </w:t>
      </w:r>
      <w:r w:rsidRPr="0069723B">
        <w:rPr>
          <w:rFonts w:cs="Tahoma"/>
          <w:sz w:val="20"/>
          <w:lang w:val="it-IT"/>
        </w:rPr>
        <w:t>Tali informazioni includono la versione, la lingua e il codice “Product Key” del software, l’indirizzo del protocollo Internet del sistema che esegue VAMT e le informazioni risultanti dalla configurazione hardware del Dispositivo o dei Dispositivi che eseguono Windows Server 2008, Windows Vista, Windows Server 2008-R2 o Windows 7.</w:t>
      </w:r>
      <w:r w:rsidRPr="007073BE">
        <w:rPr>
          <w:rFonts w:cs="Tahoma"/>
          <w:sz w:val="20"/>
        </w:rPr>
        <w:t xml:space="preserve"> </w:t>
      </w:r>
      <w:r w:rsidRPr="0069723B">
        <w:rPr>
          <w:rFonts w:cs="Tahoma"/>
          <w:sz w:val="20"/>
          <w:lang w:val="it-IT"/>
        </w:rPr>
        <w:t>Le informazioni inviate a Microsoft non contengono alcun dato personale.</w:t>
      </w:r>
      <w:r w:rsidRPr="007073BE">
        <w:rPr>
          <w:rFonts w:cs="Tahoma"/>
          <w:sz w:val="20"/>
        </w:rPr>
        <w:t xml:space="preserve"> </w:t>
      </w:r>
      <w:r w:rsidRPr="0069723B">
        <w:rPr>
          <w:rFonts w:cs="Tahoma"/>
          <w:sz w:val="20"/>
          <w:lang w:val="it-IT"/>
        </w:rPr>
        <w:t xml:space="preserve">Tali informazioni </w:t>
      </w:r>
      <w:r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Pr="0069723B">
        <w:rPr>
          <w:rFonts w:cs="Tahoma"/>
          <w:sz w:val="20"/>
          <w:lang w:val="it-IT"/>
        </w:rPr>
        <w:t xml:space="preserve"> informazioni relative a tali dispositivi.</w:t>
      </w:r>
      <w:r w:rsidRPr="007073BE">
        <w:rPr>
          <w:rFonts w:cs="Tahoma"/>
          <w:sz w:val="20"/>
        </w:rPr>
        <w:t xml:space="preserve"> </w:t>
      </w:r>
      <w:r w:rsidRPr="0069723B">
        <w:rPr>
          <w:rFonts w:cs="Tahoma"/>
          <w:sz w:val="20"/>
          <w:lang w:val="it-IT"/>
        </w:rPr>
        <w:t>Per ulteriori informazioni, il licenziatario potrà visitare la pagina go.microsoft.com/fwlink/?linkid=141210.</w:t>
      </w:r>
      <w:r w:rsidRPr="007073BE">
        <w:rPr>
          <w:rFonts w:cs="Tahoma"/>
          <w:sz w:val="20"/>
        </w:rPr>
        <w:t xml:space="preserve"> </w:t>
      </w:r>
      <w:r w:rsidRPr="0069723B">
        <w:rPr>
          <w:rFonts w:cs="Tahoma"/>
          <w:sz w:val="20"/>
          <w:lang w:val="it-IT"/>
        </w:rPr>
        <w:t>Mediante l'utilizzo del software WAIK il licenziatario acconsente alla trasmissione di queste informazioni.</w:t>
      </w:r>
    </w:p>
    <w:p w:rsidR="00A131A4" w:rsidRPr="00AD704B" w:rsidRDefault="00A131A4" w:rsidP="00A131A4">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Pr="0069723B">
        <w:rPr>
          <w:rFonts w:cs="Tahoma"/>
          <w:b w:val="0"/>
          <w:sz w:val="20"/>
          <w:lang w:val="it-IT"/>
        </w:rPr>
        <w:t>Alla prima installazione il software convaliderà il codice “Product Key” del software.</w:t>
      </w:r>
      <w:r w:rsidRPr="007073BE">
        <w:rPr>
          <w:rFonts w:cs="Tahoma"/>
          <w:sz w:val="20"/>
        </w:rPr>
        <w:t xml:space="preserve"> </w:t>
      </w:r>
      <w:r w:rsidRPr="0069723B">
        <w:rPr>
          <w:rFonts w:cs="Tahoma"/>
          <w:b w:val="0"/>
          <w:sz w:val="20"/>
          <w:lang w:val="it-IT"/>
        </w:rPr>
        <w:t>Durante la verifica di convalida il software verrà convalidato a livello locale e non verrà inviata alcuna informazione a Microsoft.</w:t>
      </w:r>
      <w:r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Pr="0069723B">
        <w:rPr>
          <w:rFonts w:cs="Tahoma"/>
          <w:b w:val="0"/>
          <w:sz w:val="20"/>
          <w:lang w:val="it-IT"/>
        </w:rPr>
        <w:t>Per ulteriori informazioni sulle modalità per ottenere aggiornamenti da fonti autorizzate, il licenziatario potrà visitare il sito www.microsoft.com.</w:t>
      </w:r>
    </w:p>
    <w:p w:rsidR="00A131A4" w:rsidRPr="00AD704B" w:rsidRDefault="00A131A4" w:rsidP="00A131A4">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A131A4" w:rsidRPr="007073BE" w:rsidRDefault="00A131A4" w:rsidP="00A131A4">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Pr="0069723B">
        <w:rPr>
          <w:rFonts w:cs="Tahoma"/>
          <w:b w:val="0"/>
          <w:sz w:val="20"/>
          <w:szCs w:val="20"/>
          <w:lang w:val="it-IT"/>
        </w:rPr>
        <w:t xml:space="preserve">Le funzionalità del software descritte </w:t>
      </w:r>
      <w:r w:rsidRPr="0069723B">
        <w:rPr>
          <w:rFonts w:cs="Tahoma"/>
          <w:b w:val="0"/>
          <w:spacing w:val="4"/>
          <w:sz w:val="20"/>
          <w:szCs w:val="20"/>
          <w:lang w:val="it-IT"/>
        </w:rPr>
        <w:t>di seguito e nell’informativa sulla privacy di System Center 2012 si connettono ai sistemi</w:t>
      </w:r>
      <w:r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Pr="0069723B">
        <w:rPr>
          <w:rFonts w:cs="Tahoma"/>
          <w:b w:val="0"/>
          <w:spacing w:val="-4"/>
          <w:sz w:val="20"/>
          <w:szCs w:val="20"/>
          <w:lang w:val="it-IT"/>
        </w:rPr>
        <w:t>Per ulteriori informazioni su queste e altre funzionalità,</w:t>
      </w:r>
      <w:r w:rsidRPr="0069723B">
        <w:rPr>
          <w:rFonts w:cs="Tahoma"/>
          <w:b w:val="0"/>
          <w:sz w:val="20"/>
          <w:szCs w:val="20"/>
          <w:lang w:val="it-IT"/>
        </w:rPr>
        <w:t xml:space="preserve"> il licenziatario dovrà fare riferimento all’Informativa sulla Privacy di System Center 2012.</w:t>
      </w:r>
      <w:r w:rsidRPr="007073BE">
        <w:rPr>
          <w:rFonts w:cs="Tahoma"/>
          <w:b w:val="0"/>
          <w:sz w:val="20"/>
          <w:szCs w:val="20"/>
          <w:lang w:val="pt-PT"/>
        </w:rPr>
        <w:t xml:space="preserve"> </w:t>
      </w:r>
      <w:r w:rsidRPr="0069723B">
        <w:rPr>
          <w:rFonts w:cs="Tahoma"/>
          <w:sz w:val="20"/>
          <w:szCs w:val="20"/>
          <w:lang w:val="it-IT"/>
        </w:rPr>
        <w:t>L'utilizzo di tali funzionalità funge da consenso del licenziatario alla trasmissione di queste informazioni</w:t>
      </w:r>
      <w:r w:rsidRPr="0069723B">
        <w:rPr>
          <w:rFonts w:cs="Tahoma"/>
          <w:b w:val="0"/>
          <w:sz w:val="20"/>
          <w:szCs w:val="20"/>
          <w:lang w:val="it-IT"/>
        </w:rPr>
        <w:t>.</w:t>
      </w:r>
      <w:r w:rsidRPr="007073BE">
        <w:rPr>
          <w:rFonts w:cs="Tahoma"/>
          <w:sz w:val="20"/>
          <w:szCs w:val="20"/>
          <w:lang w:val="pt-PT"/>
        </w:rPr>
        <w:t xml:space="preserve"> </w:t>
      </w:r>
      <w:r w:rsidRPr="0069723B">
        <w:rPr>
          <w:rFonts w:cs="Tahoma"/>
          <w:b w:val="0"/>
          <w:sz w:val="20"/>
          <w:szCs w:val="20"/>
          <w:lang w:val="it-IT"/>
        </w:rPr>
        <w:t>Microsoft non utilizza tali informazioni per individuare o</w:t>
      </w:r>
      <w:r>
        <w:rPr>
          <w:rFonts w:cs="Tahoma"/>
          <w:b w:val="0"/>
          <w:sz w:val="20"/>
          <w:szCs w:val="20"/>
          <w:lang w:val="it-IT"/>
        </w:rPr>
        <w:t> </w:t>
      </w:r>
      <w:r w:rsidRPr="0069723B">
        <w:rPr>
          <w:rFonts w:cs="Tahoma"/>
          <w:b w:val="0"/>
          <w:sz w:val="20"/>
          <w:szCs w:val="20"/>
          <w:lang w:val="it-IT"/>
        </w:rPr>
        <w:t>contattare il licenziatario.</w:t>
      </w:r>
    </w:p>
    <w:p w:rsidR="00A131A4" w:rsidRPr="00F13EFD" w:rsidRDefault="00A131A4" w:rsidP="00A131A4">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 sistema operativo, il browser, il nome e la versione del software in uso, nonché il codice di</w:t>
      </w:r>
      <w:r w:rsidRPr="0069723B">
        <w:rPr>
          <w:sz w:val="20"/>
          <w:szCs w:val="20"/>
          <w:u w:val="none"/>
          <w:lang w:val="it-IT"/>
        </w:rPr>
        <w:t xml:space="preserve"> linguaggio del dispositivo su cui è in esecuzione il software.</w:t>
      </w:r>
      <w:r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A131A4" w:rsidRPr="00AD704B" w:rsidRDefault="00A131A4" w:rsidP="00A131A4">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Pr="00AD704B">
        <w:rPr>
          <w:sz w:val="20"/>
          <w:szCs w:val="20"/>
          <w:u w:val="none"/>
          <w:lang w:val="pt-PT"/>
        </w:rPr>
        <w:t xml:space="preserve"> </w:t>
      </w:r>
      <w:r w:rsidRPr="0069723B">
        <w:rPr>
          <w:sz w:val="20"/>
          <w:szCs w:val="20"/>
          <w:u w:val="none"/>
          <w:lang w:val="it-IT"/>
        </w:rPr>
        <w:t>Il software dotato di tecnologia A portata di clic potrebbe verificare periodicamente la disponibilità di aggiornamenti e supplementi sul sito Microsoft.</w:t>
      </w:r>
      <w:r w:rsidRPr="00AD704B">
        <w:rPr>
          <w:sz w:val="20"/>
          <w:szCs w:val="20"/>
          <w:u w:val="none"/>
          <w:lang w:val="pt-PT"/>
        </w:rPr>
        <w:t xml:space="preserve"> </w:t>
      </w:r>
      <w:r w:rsidRPr="0069723B">
        <w:rPr>
          <w:sz w:val="20"/>
          <w:szCs w:val="20"/>
          <w:u w:val="none"/>
          <w:lang w:val="it-IT"/>
        </w:rPr>
        <w:t>Qualora disponibili, tali aggiornamenti e supplementi potrebbero essere scaricati e installati automaticamente nel dispositivo con licenza.</w:t>
      </w:r>
    </w:p>
    <w:p w:rsidR="00A131A4" w:rsidRPr="00F13EFD" w:rsidRDefault="00A131A4" w:rsidP="00A131A4">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 Questo software utilizza il programma Analisi utilizzo software,</w:t>
      </w:r>
      <w:r w:rsidRPr="0069723B">
        <w:rPr>
          <w:sz w:val="20"/>
          <w:szCs w:val="20"/>
          <w:u w:val="none"/>
          <w:lang w:val="it-IT"/>
        </w:rPr>
        <w:t xml:space="preserve"> </w:t>
      </w:r>
      <w:r w:rsidRPr="0069723B">
        <w:rPr>
          <w:spacing w:val="-2"/>
          <w:sz w:val="20"/>
          <w:szCs w:val="20"/>
          <w:u w:val="none"/>
          <w:lang w:val="it-IT"/>
        </w:rPr>
        <w:t>il 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 Microsoft non utilizza tali informazioni per identificare o contattare il licenziatario.</w:t>
      </w:r>
      <w:r w:rsidRPr="007073BE">
        <w:rPr>
          <w:spacing w:val="4"/>
          <w:sz w:val="20"/>
          <w:szCs w:val="20"/>
          <w:u w:val="none"/>
          <w:lang w:val="it-IT"/>
        </w:rPr>
        <w:t xml:space="preserve"> </w:t>
      </w:r>
      <w:r w:rsidRPr="0069723B">
        <w:rPr>
          <w:spacing w:val="4"/>
          <w:sz w:val="20"/>
          <w:szCs w:val="20"/>
          <w:u w:val="none"/>
          <w:lang w:val="it-IT"/>
        </w:rPr>
        <w:t>Inoltre, Analisi utilizzo software scarica periodicamente un file di piccole</w:t>
      </w:r>
      <w:r w:rsidRPr="0069723B">
        <w:rPr>
          <w:sz w:val="20"/>
          <w:szCs w:val="20"/>
          <w:u w:val="none"/>
          <w:lang w:val="it-IT"/>
        </w:rPr>
        <w:t xml:space="preserve"> </w:t>
      </w:r>
      <w:r w:rsidRPr="0069723B">
        <w:rPr>
          <w:spacing w:val="4"/>
          <w:sz w:val="20"/>
          <w:szCs w:val="20"/>
          <w:u w:val="none"/>
          <w:lang w:val="it-IT"/>
        </w:rPr>
        <w:t>dimensioni nel computer del licenziatario.</w:t>
      </w:r>
      <w:r w:rsidRPr="007073BE">
        <w:rPr>
          <w:spacing w:val="4"/>
          <w:sz w:val="20"/>
          <w:szCs w:val="20"/>
          <w:u w:val="none"/>
          <w:lang w:val="it-IT"/>
        </w:rPr>
        <w:t xml:space="preserve"> </w:t>
      </w:r>
      <w:r w:rsidRPr="0069723B">
        <w:rPr>
          <w:spacing w:val="4"/>
          <w:sz w:val="20"/>
          <w:szCs w:val="20"/>
          <w:u w:val="none"/>
          <w:lang w:val="it-IT"/>
        </w:rPr>
        <w:t>Tale file facilita la raccolta di informazioni sui</w:t>
      </w:r>
      <w:r w:rsidRPr="0069723B">
        <w:rPr>
          <w:sz w:val="20"/>
          <w:szCs w:val="20"/>
          <w:u w:val="none"/>
          <w:lang w:val="it-IT"/>
        </w:rPr>
        <w:t xml:space="preserve"> problemi rilevati dal licenziatario nel corso dell'utilizzo del software.</w:t>
      </w:r>
      <w:r w:rsidRPr="007073BE">
        <w:rPr>
          <w:sz w:val="20"/>
          <w:szCs w:val="20"/>
          <w:u w:val="none"/>
          <w:lang w:val="it-IT"/>
        </w:rPr>
        <w:t xml:space="preserve"> </w:t>
      </w:r>
      <w:r w:rsidRPr="0069723B">
        <w:rPr>
          <w:sz w:val="20"/>
          <w:szCs w:val="20"/>
          <w:u w:val="none"/>
          <w:lang w:val="it-IT"/>
        </w:rPr>
        <w:t>Quando disponibili, nuove informazioni di assistenza sugli errori potrebbero inoltre essere scaricate automaticamente.</w:t>
      </w:r>
      <w:r w:rsidRPr="007073BE">
        <w:rPr>
          <w:sz w:val="20"/>
          <w:szCs w:val="20"/>
          <w:u w:val="none"/>
          <w:lang w:val="it-IT"/>
        </w:rPr>
        <w:t xml:space="preserve"> </w:t>
      </w:r>
      <w:r w:rsidRPr="0069723B">
        <w:rPr>
          <w:sz w:val="20"/>
          <w:szCs w:val="20"/>
          <w:u w:val="none"/>
          <w:lang w:val="it-IT"/>
        </w:rPr>
        <w:t>Per ulteriori informazioni su Analisi utilizzo software, il licenziatario potrà visitare il sito www.microsoft.com.</w:t>
      </w:r>
    </w:p>
    <w:p w:rsidR="00A131A4" w:rsidRPr="00F13EFD" w:rsidRDefault="00A131A4" w:rsidP="00A131A4">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Pr="0069723B">
        <w:rPr>
          <w:sz w:val="20"/>
          <w:szCs w:val="20"/>
          <w:u w:val="none"/>
          <w:lang w:val="it-IT"/>
        </w:rPr>
        <w:t>.</w:t>
      </w:r>
      <w:r w:rsidRPr="00F13EFD">
        <w:rPr>
          <w:sz w:val="20"/>
          <w:szCs w:val="20"/>
          <w:u w:val="none"/>
          <w:lang w:val="es-ES"/>
        </w:rPr>
        <w:t xml:space="preserve"> </w:t>
      </w:r>
      <w:r w:rsidRPr="0069723B">
        <w:rPr>
          <w:sz w:val="20"/>
          <w:szCs w:val="20"/>
          <w:u w:val="none"/>
          <w:lang w:val="it-IT"/>
        </w:rPr>
        <w:t xml:space="preserve">Questa funzionalità consente a Microsoft e ai partner </w:t>
      </w:r>
      <w:r w:rsidRPr="0069723B">
        <w:rPr>
          <w:spacing w:val="2"/>
          <w:sz w:val="20"/>
          <w:szCs w:val="20"/>
          <w:u w:val="none"/>
          <w:lang w:val="it-IT"/>
        </w:rPr>
        <w:t>Windows di diagnosticare eventuali problemi che si possono verificare nel software e di</w:t>
      </w:r>
      <w:r w:rsidRPr="0069723B">
        <w:rPr>
          <w:sz w:val="20"/>
          <w:szCs w:val="20"/>
          <w:u w:val="none"/>
          <w:lang w:val="it-IT"/>
        </w:rPr>
        <w:t xml:space="preserve"> fornire le soluzioni.</w:t>
      </w:r>
      <w:r w:rsidRPr="00F13EFD">
        <w:rPr>
          <w:sz w:val="20"/>
          <w:szCs w:val="20"/>
          <w:u w:val="none"/>
          <w:lang w:val="es-ES"/>
        </w:rPr>
        <w:t xml:space="preserve"> </w:t>
      </w:r>
      <w:r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Pr="00F13EFD">
        <w:rPr>
          <w:sz w:val="20"/>
          <w:szCs w:val="20"/>
          <w:u w:val="none"/>
          <w:lang w:val="es-ES"/>
        </w:rPr>
        <w:t xml:space="preserve"> </w:t>
      </w:r>
      <w:r w:rsidRPr="0069723B">
        <w:rPr>
          <w:sz w:val="20"/>
          <w:szCs w:val="20"/>
          <w:u w:val="none"/>
          <w:lang w:val="it-IT"/>
        </w:rPr>
        <w:t>Nell'ambito dei processi di configurazione e di installazione, il Servizio Segnalazione Errori invia a Microsoft informazioni relative agli errori che si sono verificati in queste fasi per tentare di diagnosticare il problema.</w:t>
      </w:r>
      <w:r w:rsidRPr="00F13EFD">
        <w:rPr>
          <w:sz w:val="20"/>
          <w:szCs w:val="20"/>
          <w:u w:val="none"/>
          <w:lang w:val="es-ES"/>
        </w:rPr>
        <w:t xml:space="preserve"> </w:t>
      </w:r>
      <w:r w:rsidRPr="0069723B">
        <w:rPr>
          <w:sz w:val="20"/>
          <w:szCs w:val="20"/>
          <w:u w:val="none"/>
          <w:lang w:val="it-IT"/>
        </w:rPr>
        <w:t>Per prevenire i problemi e aumentare l'affidabilità del software, alcune soluzioni vengono inoltre incluse nei service pack e nelle versioni successive del software.</w:t>
      </w:r>
    </w:p>
    <w:p w:rsidR="00A131A4" w:rsidRPr="0069723B" w:rsidRDefault="00A131A4" w:rsidP="00A131A4">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Pr="00AD704B">
        <w:rPr>
          <w:sz w:val="20"/>
          <w:szCs w:val="20"/>
          <w:u w:val="none"/>
          <w:lang w:val="es-ES"/>
        </w:rPr>
        <w:t xml:space="preserve"> </w:t>
      </w:r>
      <w:r w:rsidRPr="0069723B">
        <w:rPr>
          <w:sz w:val="20"/>
          <w:szCs w:val="20"/>
          <w:u w:val="none"/>
          <w:lang w:val="it-IT"/>
        </w:rPr>
        <w:t>Il licenziatario potrà connettere il nuovo hardware al dispositivo su cui ha installato il software.</w:t>
      </w:r>
      <w:r w:rsidRPr="00F13EFD">
        <w:rPr>
          <w:sz w:val="20"/>
          <w:szCs w:val="20"/>
          <w:u w:val="none"/>
          <w:lang w:val="es-ES"/>
        </w:rPr>
        <w:t xml:space="preserve"> </w:t>
      </w:r>
      <w:r w:rsidRPr="0069723B">
        <w:rPr>
          <w:sz w:val="20"/>
          <w:szCs w:val="20"/>
          <w:u w:val="none"/>
          <w:lang w:val="it-IT"/>
        </w:rPr>
        <w:t>È possibile che il dispositivo non disponga dei driver necessari per comunicare con l’hardware aggiuntivo.</w:t>
      </w:r>
      <w:r w:rsidRPr="00AD704B">
        <w:rPr>
          <w:sz w:val="20"/>
          <w:szCs w:val="20"/>
          <w:u w:val="none"/>
          <w:lang w:val="pt-PT"/>
        </w:rPr>
        <w:t xml:space="preserve"> </w:t>
      </w:r>
      <w:r w:rsidRPr="0069723B">
        <w:rPr>
          <w:sz w:val="20"/>
          <w:szCs w:val="20"/>
          <w:u w:val="none"/>
          <w:lang w:val="it-IT"/>
        </w:rPr>
        <w:t>In tal caso, tramite la funzionalità di aggiornamento del software il licenziatario potrà ottenere da Microsoft il driver corretto e installarlo sul dispositivo.</w:t>
      </w:r>
      <w:r w:rsidRPr="00AD704B">
        <w:rPr>
          <w:sz w:val="20"/>
          <w:szCs w:val="20"/>
          <w:u w:val="none"/>
          <w:lang w:val="pt-PT"/>
        </w:rPr>
        <w:t xml:space="preserve"> </w:t>
      </w:r>
      <w:r w:rsidRPr="0069723B">
        <w:rPr>
          <w:sz w:val="20"/>
          <w:szCs w:val="20"/>
          <w:u w:val="none"/>
          <w:lang w:val="it-IT"/>
        </w:rPr>
        <w:t>Il licenziatario potrà disattivare la funzionalità di aggiornamento.</w:t>
      </w:r>
    </w:p>
    <w:p w:rsidR="00A131A4" w:rsidRPr="0069723B" w:rsidRDefault="00A131A4" w:rsidP="00A131A4">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Pr="0069723B">
        <w:rPr>
          <w:rFonts w:cs="Tahoma"/>
          <w:b w:val="0"/>
          <w:sz w:val="20"/>
          <w:szCs w:val="20"/>
          <w:lang w:val="it-IT"/>
        </w:rPr>
        <w:t>Microsoft potrà utilizzare le informazioni relative al computer, le 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A131A4" w:rsidRPr="00AD704B" w:rsidRDefault="00A131A4" w:rsidP="00A131A4">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 servizi, dati, account o reti con qualsiasi mezzo.</w:t>
      </w:r>
    </w:p>
    <w:p w:rsidR="00A131A4" w:rsidRPr="00AD704B" w:rsidRDefault="00A131A4" w:rsidP="00A131A4">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Pr="00AD704B">
        <w:rPr>
          <w:rFonts w:cs="Tahoma"/>
          <w:sz w:val="20"/>
        </w:rPr>
        <w:t xml:space="preserve"> </w:t>
      </w:r>
      <w:r w:rsidRPr="0069723B">
        <w:rPr>
          <w:rFonts w:cs="Tahoma"/>
          <w:b w:val="0"/>
          <w:sz w:val="20"/>
          <w:lang w:val="it-IT"/>
        </w:rPr>
        <w:t>Le condizioni di licenza per Windows si applicano all'utilizzo del software .NET Framework da parte del licenziatario.</w:t>
      </w:r>
    </w:p>
    <w:p w:rsidR="00A131A4" w:rsidRPr="0069723B" w:rsidRDefault="00A131A4" w:rsidP="00A131A4">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 al software.</w:t>
      </w:r>
      <w:r w:rsidRPr="0069723B">
        <w:rPr>
          <w:rFonts w:cs="Tahoma"/>
          <w:sz w:val="20"/>
        </w:rPr>
        <w:t xml:space="preserve"> </w:t>
      </w:r>
      <w:r w:rsidRPr="0069723B">
        <w:rPr>
          <w:rFonts w:cs="Tahoma"/>
          <w:b w:val="0"/>
          <w:sz w:val="20"/>
          <w:lang w:val="it-IT"/>
        </w:rPr>
        <w:t>Tuttavia, non si applica invece a Microsoft .NET Framework (vedere sotto).</w:t>
      </w:r>
    </w:p>
    <w:p w:rsidR="00A131A4" w:rsidRPr="00AD704B" w:rsidRDefault="00A131A4" w:rsidP="00A131A4">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(“Componente .NET”).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Pr="0069723B">
        <w:rPr>
          <w:rFonts w:cs="Tahoma"/>
          <w:sz w:val="20"/>
        </w:rPr>
        <w:t xml:space="preserve"> </w:t>
      </w:r>
      <w:r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131A4" w:rsidRPr="0069723B" w:rsidRDefault="00A131A4" w:rsidP="00A131A4">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Pr="00F13EFD">
        <w:rPr>
          <w:rFonts w:cs="Tahoma"/>
          <w:sz w:val="20"/>
          <w:lang w:val="es-ES"/>
        </w:rPr>
        <w:t xml:space="preserve"> </w:t>
      </w:r>
      <w:r w:rsidRPr="0069723B">
        <w:rPr>
          <w:rFonts w:cs="Tahoma"/>
          <w:b w:val="0"/>
          <w:sz w:val="20"/>
          <w:lang w:val="it-IT"/>
        </w:rPr>
        <w:t xml:space="preserve">Il Licenziante </w:t>
      </w:r>
      <w:r w:rsidRPr="0069723B">
        <w:rPr>
          <w:rFonts w:cs="Tahoma"/>
          <w:b w:val="0"/>
          <w:spacing w:val="4"/>
          <w:sz w:val="20"/>
          <w:lang w:val="it-IT"/>
        </w:rPr>
        <w:t>e Microsoft si riservano tutti gli altri diritti.</w:t>
      </w:r>
      <w:r w:rsidRPr="007073BE">
        <w:rPr>
          <w:rFonts w:cs="Tahoma"/>
          <w:spacing w:val="4"/>
          <w:sz w:val="20"/>
          <w:lang w:val="es-ES"/>
        </w:rPr>
        <w:t xml:space="preserve"> </w:t>
      </w:r>
      <w:r w:rsidRPr="0069723B">
        <w:rPr>
          <w:rFonts w:cs="Tahoma"/>
          <w:b w:val="0"/>
          <w:spacing w:val="4"/>
          <w:sz w:val="20"/>
          <w:lang w:val="it-IT"/>
        </w:rPr>
        <w:t>Nel limite massimo consentito dalla legge applicabile, il licenziatario potrà utilizzare il software esclusivamente nei modi espressamente concessi nel</w:t>
      </w:r>
      <w:r w:rsidRPr="0069723B">
        <w:rPr>
          <w:rFonts w:cs="Tahoma"/>
          <w:b w:val="0"/>
          <w:sz w:val="20"/>
          <w:lang w:val="it-IT"/>
        </w:rPr>
        <w:t xml:space="preserve"> presente contratto.</w:t>
      </w:r>
      <w:r w:rsidRPr="007073BE">
        <w:rPr>
          <w:rFonts w:cs="Tahoma"/>
          <w:sz w:val="20"/>
          <w:lang w:val="es-ES"/>
        </w:rPr>
        <w:t xml:space="preserve"> </w:t>
      </w:r>
      <w:r w:rsidRPr="0069723B">
        <w:rPr>
          <w:rFonts w:cs="Tahoma"/>
          <w:b w:val="0"/>
          <w:sz w:val="20"/>
          <w:lang w:val="it-IT"/>
        </w:rPr>
        <w:t>Nel far ciò, il licenziatario dovrà attenersi a qualsiasi limitazione tecnica presente nel software che gli consenta di utilizzarlo solo in determinati modi.</w:t>
      </w:r>
      <w:r w:rsidRPr="007073BE">
        <w:rPr>
          <w:rFonts w:cs="Tahoma"/>
          <w:sz w:val="20"/>
          <w:lang w:val="es-ES"/>
        </w:rPr>
        <w:t xml:space="preserve"> </w:t>
      </w:r>
      <w:r w:rsidRPr="0069723B">
        <w:rPr>
          <w:rFonts w:cs="Tahoma"/>
          <w:b w:val="0"/>
          <w:sz w:val="20"/>
          <w:lang w:val="it-IT"/>
        </w:rPr>
        <w:t>Il licenziatario non potrà</w:t>
      </w:r>
    </w:p>
    <w:p w:rsidR="00A131A4" w:rsidRPr="00F13EFD" w:rsidRDefault="00A131A4" w:rsidP="00A131A4">
      <w:pPr>
        <w:pStyle w:val="Bullet2"/>
        <w:numPr>
          <w:ilvl w:val="0"/>
          <w:numId w:val="9"/>
        </w:numPr>
        <w:ind w:left="720"/>
        <w:rPr>
          <w:sz w:val="20"/>
          <w:szCs w:val="20"/>
          <w:lang w:val="es-ES"/>
        </w:rPr>
      </w:pPr>
      <w:r w:rsidRPr="0069723B">
        <w:rPr>
          <w:sz w:val="20"/>
          <w:szCs w:val="20"/>
          <w:lang w:val="it-IT"/>
        </w:rPr>
        <w:t>aggirare le limitazioni tecniche presenti nel software;</w:t>
      </w:r>
    </w:p>
    <w:p w:rsidR="00A131A4" w:rsidRPr="00F13EFD" w:rsidRDefault="00A131A4" w:rsidP="00A131A4">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A131A4" w:rsidRPr="00F13EFD" w:rsidRDefault="00A131A4" w:rsidP="00A131A4">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A131A4" w:rsidRPr="00AD704B" w:rsidRDefault="00A131A4" w:rsidP="00A131A4">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A131A4" w:rsidRPr="0069723B" w:rsidRDefault="00A131A4" w:rsidP="00A131A4">
      <w:pPr>
        <w:pStyle w:val="Bullet2"/>
        <w:numPr>
          <w:ilvl w:val="0"/>
          <w:numId w:val="9"/>
        </w:numPr>
        <w:ind w:left="720"/>
        <w:rPr>
          <w:sz w:val="20"/>
          <w:szCs w:val="20"/>
        </w:rPr>
      </w:pPr>
      <w:r w:rsidRPr="0069723B">
        <w:rPr>
          <w:sz w:val="20"/>
          <w:szCs w:val="20"/>
          <w:lang w:val="it-IT"/>
        </w:rPr>
        <w:t>concedere il software in noleggio, locazione o prestito oppure;</w:t>
      </w:r>
    </w:p>
    <w:p w:rsidR="00A131A4" w:rsidRPr="0069723B" w:rsidRDefault="00A131A4" w:rsidP="00A131A4">
      <w:pPr>
        <w:pStyle w:val="Bullet2"/>
        <w:numPr>
          <w:ilvl w:val="0"/>
          <w:numId w:val="9"/>
        </w:numPr>
        <w:ind w:left="720"/>
        <w:rPr>
          <w:sz w:val="20"/>
          <w:szCs w:val="20"/>
        </w:rPr>
      </w:pPr>
      <w:r w:rsidRPr="0069723B">
        <w:rPr>
          <w:sz w:val="20"/>
          <w:szCs w:val="20"/>
          <w:lang w:val="it-IT"/>
        </w:rPr>
        <w:t>utilizzare il software per fornire hosting di servizi commerciali.</w:t>
      </w:r>
    </w:p>
    <w:p w:rsidR="00A131A4" w:rsidRPr="00AD704B" w:rsidRDefault="00A131A4" w:rsidP="00A131A4">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A131A4" w:rsidRPr="0069723B" w:rsidRDefault="00A131A4" w:rsidP="00A131A4">
      <w:pPr>
        <w:pStyle w:val="Bullet2"/>
        <w:numPr>
          <w:ilvl w:val="0"/>
          <w:numId w:val="9"/>
        </w:numPr>
        <w:ind w:left="720"/>
        <w:rPr>
          <w:sz w:val="20"/>
          <w:szCs w:val="20"/>
        </w:rPr>
      </w:pPr>
      <w:r w:rsidRPr="0069723B">
        <w:rPr>
          <w:sz w:val="20"/>
          <w:szCs w:val="20"/>
          <w:lang w:val="it-IT"/>
        </w:rPr>
        <w:t>logo</w:t>
      </w:r>
    </w:p>
    <w:p w:rsidR="00A131A4" w:rsidRPr="0069723B" w:rsidRDefault="00A131A4" w:rsidP="00A131A4">
      <w:pPr>
        <w:pStyle w:val="Bullet2"/>
        <w:numPr>
          <w:ilvl w:val="0"/>
          <w:numId w:val="9"/>
        </w:numPr>
        <w:ind w:left="720"/>
        <w:rPr>
          <w:sz w:val="20"/>
          <w:szCs w:val="20"/>
        </w:rPr>
      </w:pPr>
      <w:r w:rsidRPr="0069723B">
        <w:rPr>
          <w:sz w:val="20"/>
          <w:szCs w:val="20"/>
          <w:lang w:val="it-IT"/>
        </w:rPr>
        <w:t>marchi</w:t>
      </w:r>
    </w:p>
    <w:p w:rsidR="00A131A4" w:rsidRPr="0069723B" w:rsidRDefault="00A131A4" w:rsidP="00A131A4">
      <w:pPr>
        <w:pStyle w:val="Bullet2"/>
        <w:numPr>
          <w:ilvl w:val="0"/>
          <w:numId w:val="9"/>
        </w:numPr>
        <w:ind w:left="720"/>
        <w:rPr>
          <w:sz w:val="20"/>
          <w:szCs w:val="20"/>
        </w:rPr>
      </w:pPr>
      <w:r w:rsidRPr="0069723B">
        <w:rPr>
          <w:sz w:val="20"/>
          <w:szCs w:val="20"/>
          <w:lang w:val="it-IT"/>
        </w:rPr>
        <w:t>copyright</w:t>
      </w:r>
    </w:p>
    <w:p w:rsidR="00A131A4" w:rsidRPr="0069723B" w:rsidRDefault="00A131A4" w:rsidP="00A131A4">
      <w:pPr>
        <w:pStyle w:val="Bullet2"/>
        <w:numPr>
          <w:ilvl w:val="0"/>
          <w:numId w:val="9"/>
        </w:numPr>
        <w:ind w:left="720"/>
        <w:rPr>
          <w:sz w:val="20"/>
          <w:szCs w:val="20"/>
        </w:rPr>
      </w:pPr>
      <w:r w:rsidRPr="0069723B">
        <w:rPr>
          <w:sz w:val="20"/>
          <w:szCs w:val="20"/>
          <w:lang w:val="it-IT"/>
        </w:rPr>
        <w:t>filigrane digitali o</w:t>
      </w:r>
    </w:p>
    <w:p w:rsidR="00A131A4" w:rsidRPr="00AD704B" w:rsidRDefault="00A131A4" w:rsidP="00A131A4">
      <w:pPr>
        <w:pStyle w:val="Bullet2"/>
        <w:numPr>
          <w:ilvl w:val="0"/>
          <w:numId w:val="9"/>
        </w:numPr>
        <w:ind w:left="720"/>
        <w:rPr>
          <w:sz w:val="20"/>
          <w:szCs w:val="20"/>
          <w:lang w:val="pt-PT"/>
        </w:rPr>
      </w:pPr>
      <w:r w:rsidRPr="0069723B">
        <w:rPr>
          <w:sz w:val="20"/>
          <w:szCs w:val="20"/>
          <w:lang w:val="it-IT"/>
        </w:rPr>
        <w:t>altre comunicazioni di Microsoft o dei suoi fornitori.</w:t>
      </w:r>
    </w:p>
    <w:p w:rsidR="00A131A4" w:rsidRPr="00AD704B" w:rsidRDefault="00A131A4" w:rsidP="00A131A4">
      <w:pPr>
        <w:pStyle w:val="Body1"/>
        <w:rPr>
          <w:rFonts w:cs="Tahoma"/>
          <w:sz w:val="20"/>
          <w:lang w:val="pt-PT"/>
        </w:rPr>
      </w:pPr>
      <w:r w:rsidRPr="0069723B">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131A4" w:rsidRPr="0069723B" w:rsidRDefault="00A131A4" w:rsidP="00A131A4">
      <w:pPr>
        <w:pStyle w:val="Heading1"/>
        <w:rPr>
          <w:rFonts w:cs="Tahoma"/>
        </w:rPr>
      </w:pPr>
      <w:r w:rsidRPr="0069723B">
        <w:rPr>
          <w:rFonts w:cs="Tahoma"/>
          <w:sz w:val="20"/>
          <w:lang w:val="it-IT"/>
        </w:rPr>
        <w:t>COPIA DI BACKUP.</w:t>
      </w:r>
      <w:r w:rsidRPr="0069723B">
        <w:rPr>
          <w:rFonts w:cs="Tahoma"/>
          <w:sz w:val="20"/>
        </w:rPr>
        <w:t xml:space="preserve"> </w:t>
      </w:r>
    </w:p>
    <w:p w:rsidR="00A131A4" w:rsidRPr="00F13EFD" w:rsidRDefault="00A131A4" w:rsidP="00A131A4">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A131A4" w:rsidRPr="00F13EFD" w:rsidRDefault="00A131A4" w:rsidP="00A131A4">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Pr="0069723B">
        <w:rPr>
          <w:rFonts w:cs="Tahoma"/>
          <w:b w:val="0"/>
          <w:spacing w:val="4"/>
          <w:sz w:val="20"/>
          <w:lang w:val="it-IT"/>
        </w:rPr>
        <w:t>Se il licenziatario ha acquistato e scaricato il software online,</w:t>
      </w:r>
      <w:r w:rsidRPr="0069723B">
        <w:rPr>
          <w:rFonts w:cs="Tahoma"/>
          <w:b w:val="0"/>
          <w:sz w:val="20"/>
          <w:lang w:val="it-IT"/>
        </w:rPr>
        <w:t xml:space="preserve"> è permessa la creazione di una copia del software su disco o altro supporto di memorizzazione al fine di creare istanze del software.</w:t>
      </w:r>
    </w:p>
    <w:p w:rsidR="00A131A4" w:rsidRPr="00F13EFD" w:rsidRDefault="00A131A4" w:rsidP="00A131A4">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A131A4" w:rsidRPr="00AD704B" w:rsidRDefault="00A131A4" w:rsidP="00A131A4">
      <w:pPr>
        <w:pStyle w:val="Heading1"/>
        <w:rPr>
          <w:rFonts w:cs="Tahoma"/>
          <w:lang w:val="es-ES"/>
        </w:rPr>
      </w:pPr>
      <w:r w:rsidRPr="0069723B">
        <w:rPr>
          <w:rFonts w:cs="Tahoma"/>
          <w:sz w:val="20"/>
          <w:lang w:val="it-IT"/>
        </w:rPr>
        <w:t>CAMPIONE DIMOSTRATIVO. VIETATA LA VENDITA (“Not for Resale” o “NFR”).</w:t>
      </w:r>
      <w:r w:rsidRPr="00F13EFD">
        <w:rPr>
          <w:rFonts w:cs="Tahoma"/>
          <w:lang w:val="es-ES"/>
        </w:rPr>
        <w:t xml:space="preserve"> </w:t>
      </w:r>
      <w:r w:rsidRPr="0069723B">
        <w:rPr>
          <w:rFonts w:cs="Tahoma"/>
          <w:b w:val="0"/>
          <w:sz w:val="20"/>
          <w:lang w:val="it-IT"/>
        </w:rPr>
        <w:t>Il licenziatario non potrà vendere il software che rechi l'etichetta “Campione Dimostrativo. Vietata la vendita” (“Not for Resale” o “NFR”).</w:t>
      </w:r>
      <w:r w:rsidRPr="00AD704B">
        <w:rPr>
          <w:rFonts w:cs="Tahoma"/>
          <w:lang w:val="es-ES"/>
        </w:rPr>
        <w:t xml:space="preserve"> </w:t>
      </w:r>
    </w:p>
    <w:p w:rsidR="00A131A4" w:rsidRPr="00AD704B" w:rsidRDefault="00A131A4" w:rsidP="00A131A4">
      <w:pPr>
        <w:pStyle w:val="Heading1"/>
        <w:rPr>
          <w:rFonts w:cs="Tahoma"/>
          <w:sz w:val="20"/>
          <w:lang w:val="it-IT"/>
        </w:rPr>
      </w:pPr>
      <w:r w:rsidRPr="0069723B">
        <w:rPr>
          <w:rFonts w:cs="Tahoma"/>
          <w:sz w:val="20"/>
          <w:lang w:val="it-IT"/>
        </w:rPr>
        <w:t>SOFTWARE “EDIZIONE EDUCATION” (“Academic Edition” o “AE”).</w:t>
      </w:r>
      <w:r w:rsidRPr="0069723B">
        <w:rPr>
          <w:rFonts w:cs="Tahoma"/>
          <w:sz w:val="20"/>
        </w:rPr>
        <w:t xml:space="preserve"> </w:t>
      </w:r>
      <w:r w:rsidRPr="0069723B">
        <w:rPr>
          <w:rFonts w:cs="Tahoma"/>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A131A4" w:rsidRPr="00F13EFD" w:rsidRDefault="00A131A4" w:rsidP="00A131A4">
      <w:pPr>
        <w:pStyle w:val="Heading1"/>
        <w:tabs>
          <w:tab w:val="clear" w:pos="360"/>
        </w:tabs>
        <w:rPr>
          <w:rFonts w:cs="Tahoma"/>
          <w:sz w:val="20"/>
          <w:lang w:val="es-ES"/>
        </w:rPr>
      </w:pPr>
      <w:r w:rsidRPr="0069723B">
        <w:rPr>
          <w:rFonts w:cs="Tahoma"/>
          <w:sz w:val="20"/>
          <w:lang w:val="it-IT"/>
        </w:rPr>
        <w:t>DOWNGRADE DEL SOFTWARE.</w:t>
      </w:r>
      <w:r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Pr="00AD704B">
        <w:rPr>
          <w:rFonts w:cs="Tahoma"/>
          <w:sz w:val="20"/>
          <w:lang w:val="it-IT"/>
        </w:rPr>
        <w:t xml:space="preserve"> </w:t>
      </w:r>
      <w:r w:rsidRPr="0069723B">
        <w:rPr>
          <w:rFonts w:cs="Tahoma"/>
          <w:b w:val="0"/>
          <w:sz w:val="20"/>
          <w:lang w:val="it-IT"/>
        </w:rPr>
        <w:t>Questo contratto si applica all’utilizzo da parte del licenziatario della versione precedente.</w:t>
      </w:r>
      <w:r w:rsidRPr="00F13EFD">
        <w:rPr>
          <w:rFonts w:cs="Tahoma"/>
          <w:sz w:val="20"/>
          <w:lang w:val="es-ES"/>
        </w:rPr>
        <w:t xml:space="preserve"> </w:t>
      </w:r>
      <w:r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A131A4" w:rsidRPr="00F13EFD" w:rsidRDefault="00A131A4" w:rsidP="00A131A4">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A131A4" w:rsidRPr="00F13EFD" w:rsidRDefault="00A131A4" w:rsidP="00A131A4">
      <w:pPr>
        <w:pStyle w:val="Heading1"/>
        <w:rPr>
          <w:rFonts w:cs="Tahoma"/>
          <w:sz w:val="20"/>
          <w:lang w:val="es-ES"/>
        </w:rPr>
      </w:pPr>
      <w:r w:rsidRPr="0069723B">
        <w:rPr>
          <w:rFonts w:cs="Tahoma"/>
          <w:sz w:val="20"/>
          <w:lang w:val="it-IT"/>
        </w:rPr>
        <w:t>INTERO ACCORDO.</w:t>
      </w:r>
      <w:r w:rsidRPr="00F13EFD">
        <w:rPr>
          <w:rFonts w:cs="Tahoma"/>
          <w:sz w:val="20"/>
          <w:lang w:val="es-ES"/>
        </w:rPr>
        <w:t xml:space="preserve"> </w:t>
      </w:r>
      <w:r w:rsidRPr="0069723B">
        <w:rPr>
          <w:rFonts w:cs="Tahoma"/>
          <w:b w:val="0"/>
          <w:sz w:val="20"/>
          <w:lang w:val="it-IT"/>
        </w:rPr>
        <w:t>Il presente contratto e le condizioni che disciplinano i supplementi, gli aggiornamenti, i servizi basati su Internet utilizzati dal licenziatario costituiscono l'intero accordo relativo al software.</w:t>
      </w:r>
    </w:p>
    <w:p w:rsidR="00A131A4" w:rsidRPr="00F13EFD" w:rsidRDefault="00A131A4" w:rsidP="00A131A4">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Pr="00F13EFD">
        <w:rPr>
          <w:rFonts w:cs="Tahoma"/>
          <w:b w:val="0"/>
          <w:sz w:val="20"/>
          <w:lang w:val="es-ES"/>
        </w:rPr>
        <w:t xml:space="preserve"> </w:t>
      </w:r>
      <w:r w:rsidRPr="0069723B">
        <w:rPr>
          <w:rFonts w:cs="Tahoma"/>
          <w:b w:val="0"/>
          <w:sz w:val="20"/>
          <w:lang w:val="it-IT"/>
        </w:rPr>
        <w:t>Il licenziatario potrebbe, inoltre, vantare ulteriori diritti direttamente nei confronti del Licenziante da cui ha acquistato il software.</w:t>
      </w:r>
      <w:r w:rsidRPr="00F13EFD">
        <w:rPr>
          <w:rFonts w:cs="Tahoma"/>
          <w:sz w:val="20"/>
          <w:lang w:val="es-ES"/>
        </w:rPr>
        <w:t xml:space="preserve"> </w:t>
      </w:r>
      <w:r w:rsidRPr="0069723B">
        <w:rPr>
          <w:rFonts w:cs="Tahoma"/>
          <w:b w:val="0"/>
          <w:sz w:val="20"/>
          <w:lang w:val="it-IT"/>
        </w:rPr>
        <w:t>Il presente contratto non modifica i diritti del licenziatario che la legge del suo Paese di residenza non consente di modificare.</w:t>
      </w:r>
    </w:p>
    <w:p w:rsidR="00A131A4" w:rsidRPr="00F13EFD" w:rsidRDefault="00A131A4" w:rsidP="00A131A4">
      <w:pPr>
        <w:pStyle w:val="Heading1"/>
        <w:widowControl w:val="0"/>
        <w:ind w:left="360" w:hanging="360"/>
        <w:rPr>
          <w:rFonts w:cs="Tahoma"/>
          <w:sz w:val="20"/>
          <w:lang w:val="es-ES"/>
        </w:rPr>
      </w:pPr>
      <w:r w:rsidRPr="0069723B">
        <w:rPr>
          <w:rFonts w:cs="Tahoma"/>
          <w:sz w:val="20"/>
          <w:lang w:val="it-IT"/>
        </w:rPr>
        <w:t>NESSUNA TOLLERANZA D'ERRORE.</w:t>
      </w:r>
      <w:r w:rsidRPr="00F13EFD">
        <w:rPr>
          <w:rFonts w:cs="Tahoma"/>
          <w:sz w:val="20"/>
          <w:lang w:val="es-ES"/>
        </w:rPr>
        <w:t xml:space="preserve"> </w:t>
      </w:r>
      <w:r w:rsidRPr="0069723B">
        <w:rPr>
          <w:rFonts w:cs="Tahoma"/>
          <w:sz w:val="20"/>
          <w:lang w:val="it-IT"/>
        </w:rPr>
        <w:t>IL SOFTWARE NON È A TOLLERANZA D'ERRORE.</w:t>
      </w:r>
      <w:r w:rsidRPr="00F13EFD">
        <w:rPr>
          <w:rFonts w:cs="Tahoma"/>
          <w:sz w:val="20"/>
          <w:lang w:val="es-ES"/>
        </w:rPr>
        <w:t xml:space="preserve"> </w:t>
      </w:r>
      <w:r w:rsidRPr="0069723B">
        <w:rPr>
          <w:rFonts w:cs="Tahoma"/>
          <w:sz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A131A4" w:rsidRPr="00AD704B" w:rsidRDefault="00A131A4" w:rsidP="00A131A4">
      <w:pPr>
        <w:pStyle w:val="Heading1"/>
        <w:widowControl w:val="0"/>
        <w:ind w:left="360" w:hanging="360"/>
        <w:rPr>
          <w:rFonts w:cs="Tahoma"/>
          <w:sz w:val="20"/>
          <w:lang w:val="pt-PT"/>
        </w:rPr>
      </w:pPr>
      <w:r w:rsidRPr="0069723B">
        <w:rPr>
          <w:rFonts w:cs="Tahoma"/>
          <w:sz w:val="20"/>
          <w:lang w:val="it-IT"/>
        </w:rPr>
        <w:t>ESCLUSIONE DI GARANZIE DA PARTE DI MICROSOFT.</w:t>
      </w:r>
      <w:r w:rsidRPr="00AD704B">
        <w:rPr>
          <w:rFonts w:cs="Tahoma"/>
          <w:sz w:val="20"/>
          <w:lang w:val="pt-PT"/>
        </w:rPr>
        <w:t xml:space="preserve"> </w:t>
      </w:r>
      <w:r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131A4" w:rsidRPr="00AD704B" w:rsidRDefault="00A131A4" w:rsidP="00A131A4">
      <w:pPr>
        <w:pStyle w:val="Heading1"/>
        <w:widowControl w:val="0"/>
        <w:ind w:left="360" w:hanging="360"/>
        <w:rPr>
          <w:rFonts w:cs="Tahoma"/>
          <w:sz w:val="20"/>
          <w:lang w:val="pt-PT"/>
        </w:rPr>
      </w:pPr>
      <w:r w:rsidRPr="0069723B">
        <w:rPr>
          <w:rFonts w:cs="Tahoma"/>
          <w:sz w:val="20"/>
          <w:lang w:val="it-IT"/>
        </w:rPr>
        <w:t>ESCLUSIONE DI RESPONSABILITÀ PER DANNI PARTICOLARI.</w:t>
      </w:r>
      <w:r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Pr>
          <w:rFonts w:cs="Tahoma"/>
          <w:sz w:val="20"/>
          <w:lang w:val="it-IT"/>
        </w:rPr>
        <w:t> </w:t>
      </w:r>
      <w:r w:rsidRPr="0069723B">
        <w:rPr>
          <w:rFonts w:cs="Tahoma"/>
          <w:sz w:val="20"/>
          <w:lang w:val="it-IT"/>
        </w:rPr>
        <w:t>CUI IL LICENZIATARIO HA ACQUISTATO IL SOFTWARE, INCLUSE, A TITOLO ESEMPLIFICATIVO, PENALI IMPOSTE DAL GOVERNO.</w:t>
      </w:r>
      <w:r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Pr="007073BE">
        <w:rPr>
          <w:rFonts w:cs="Tahoma"/>
          <w:sz w:val="20"/>
          <w:lang w:val="fr-FR"/>
        </w:rPr>
        <w:t xml:space="preserve"> </w:t>
      </w:r>
      <w:r w:rsidRPr="0069723B">
        <w:rPr>
          <w:rFonts w:cs="Tahoma"/>
          <w:sz w:val="20"/>
          <w:lang w:val="it-IT"/>
        </w:rPr>
        <w:t>IN NESSUN CASO MICROSOFT SARÀ RESPONSABILE PER IMPORTI SUPERIORI A DUECENTOCINQUANTA DOLLARI (USD 250.00).</w:t>
      </w:r>
    </w:p>
    <w:p w:rsidR="00A131A4" w:rsidRDefault="00A131A4" w:rsidP="00A131A4">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131A4" w:rsidRDefault="00A131A4" w:rsidP="00A131A4">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A131A4" w:rsidRPr="00AA5FCE" w:rsidRDefault="00A131A4" w:rsidP="00A131A4">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A131A4" w:rsidRPr="00AD704B" w:rsidRDefault="00A131A4" w:rsidP="00A131A4">
      <w:pPr>
        <w:spacing w:before="0" w:after="200" w:line="276" w:lineRule="auto"/>
        <w:jc w:val="center"/>
        <w:rPr>
          <w:sz w:val="20"/>
          <w:szCs w:val="20"/>
          <w:lang w:val="pt-PT"/>
        </w:rPr>
      </w:pPr>
      <w:r w:rsidRPr="007073BE">
        <w:rPr>
          <w:sz w:val="20"/>
          <w:szCs w:val="20"/>
          <w:lang w:val="it-IT"/>
        </w:rPr>
        <w:br w:type="page"/>
      </w:r>
      <w:r w:rsidRPr="0069723B">
        <w:rPr>
          <w:b/>
          <w:sz w:val="20"/>
          <w:szCs w:val="20"/>
          <w:lang w:val="it-IT"/>
        </w:rPr>
        <w:t>ADDENDUM A</w:t>
      </w:r>
    </w:p>
    <w:p w:rsidR="00A131A4" w:rsidRPr="00AD704B" w:rsidRDefault="00A131A4" w:rsidP="00A131A4">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A131A4" w:rsidRPr="00F13EFD" w:rsidTr="00D13B13">
        <w:trPr>
          <w:cantSplit/>
        </w:trPr>
        <w:tc>
          <w:tcPr>
            <w:tcW w:w="4518" w:type="dxa"/>
          </w:tcPr>
          <w:p w:rsidR="00A131A4" w:rsidRPr="0069723B" w:rsidRDefault="00A131A4" w:rsidP="00D13B13">
            <w:pPr>
              <w:rPr>
                <w:b/>
                <w:sz w:val="20"/>
                <w:szCs w:val="20"/>
                <w:lang w:val="fr-FR"/>
              </w:rPr>
            </w:pPr>
            <w:r w:rsidRPr="0069723B">
              <w:rPr>
                <w:b/>
                <w:sz w:val="20"/>
                <w:szCs w:val="20"/>
                <w:lang w:val="it-IT"/>
              </w:rPr>
              <w:t>Offerta Microsoft System Center 2012</w:t>
            </w:r>
          </w:p>
        </w:tc>
        <w:tc>
          <w:tcPr>
            <w:tcW w:w="5058" w:type="dxa"/>
          </w:tcPr>
          <w:p w:rsidR="00A131A4" w:rsidRPr="0069723B" w:rsidRDefault="00A131A4" w:rsidP="00D13B13">
            <w:pPr>
              <w:rPr>
                <w:b/>
                <w:sz w:val="20"/>
                <w:szCs w:val="20"/>
                <w:lang w:val="fr-FR"/>
              </w:rPr>
            </w:pPr>
            <w:r w:rsidRPr="0069723B">
              <w:rPr>
                <w:b/>
                <w:sz w:val="20"/>
                <w:szCs w:val="20"/>
                <w:lang w:val="it-IT"/>
              </w:rPr>
              <w:t>Software Aggiuntivo concesso in licenza ai sensi dell'Articolo 2.b.ii. del Contratto</w:t>
            </w:r>
          </w:p>
        </w:tc>
      </w:tr>
      <w:tr w:rsidR="00A131A4" w:rsidRPr="0069723B" w:rsidTr="00D13B13">
        <w:trPr>
          <w:cantSplit/>
        </w:trPr>
        <w:tc>
          <w:tcPr>
            <w:tcW w:w="4518" w:type="dxa"/>
          </w:tcPr>
          <w:p w:rsidR="00A131A4" w:rsidRPr="0069723B" w:rsidRDefault="00A131A4" w:rsidP="00D13B13">
            <w:pPr>
              <w:spacing w:before="0" w:after="0"/>
              <w:rPr>
                <w:sz w:val="20"/>
                <w:szCs w:val="20"/>
              </w:rPr>
            </w:pPr>
            <w:r w:rsidRPr="0069723B">
              <w:rPr>
                <w:sz w:val="20"/>
                <w:szCs w:val="20"/>
                <w:lang w:val="it-IT"/>
              </w:rPr>
              <w:t>System Center 2012 Standard</w:t>
            </w:r>
          </w:p>
          <w:p w:rsidR="00A131A4" w:rsidRPr="0069723B" w:rsidRDefault="00A131A4" w:rsidP="00D13B13">
            <w:pPr>
              <w:spacing w:before="0" w:after="0"/>
              <w:rPr>
                <w:sz w:val="20"/>
                <w:szCs w:val="20"/>
              </w:rPr>
            </w:pPr>
            <w:r w:rsidRPr="0069723B">
              <w:rPr>
                <w:sz w:val="20"/>
                <w:szCs w:val="20"/>
                <w:lang w:val="it-IT"/>
              </w:rPr>
              <w:t>System Center 2012 Datacenter</w:t>
            </w:r>
          </w:p>
          <w:p w:rsidR="00A131A4" w:rsidRPr="0069723B" w:rsidRDefault="00A131A4" w:rsidP="00D13B13">
            <w:pPr>
              <w:spacing w:before="0" w:after="0"/>
              <w:rPr>
                <w:sz w:val="20"/>
                <w:szCs w:val="20"/>
              </w:rPr>
            </w:pPr>
          </w:p>
        </w:tc>
        <w:tc>
          <w:tcPr>
            <w:tcW w:w="5058" w:type="dxa"/>
          </w:tcPr>
          <w:p w:rsidR="00A131A4" w:rsidRPr="0069723B" w:rsidRDefault="00A131A4" w:rsidP="00D13B13">
            <w:pPr>
              <w:spacing w:before="0" w:after="0"/>
              <w:rPr>
                <w:rFonts w:eastAsia="SimSun"/>
                <w:sz w:val="20"/>
                <w:szCs w:val="20"/>
              </w:rPr>
            </w:pPr>
            <w:r w:rsidRPr="0069723B">
              <w:rPr>
                <w:sz w:val="20"/>
                <w:szCs w:val="20"/>
                <w:lang w:val="it-IT"/>
              </w:rPr>
              <w:t>Programma di installazione unificato</w:t>
            </w:r>
          </w:p>
        </w:tc>
      </w:tr>
      <w:tr w:rsidR="00A131A4" w:rsidRPr="0069723B" w:rsidTr="00D13B13">
        <w:trPr>
          <w:cantSplit/>
        </w:trPr>
        <w:tc>
          <w:tcPr>
            <w:tcW w:w="4518" w:type="dxa"/>
          </w:tcPr>
          <w:p w:rsidR="00A131A4" w:rsidRPr="007073BE" w:rsidRDefault="00A131A4" w:rsidP="00D13B13">
            <w:pPr>
              <w:spacing w:before="0" w:after="0"/>
              <w:rPr>
                <w:sz w:val="20"/>
                <w:szCs w:val="20"/>
                <w:lang w:val="fr-FR"/>
              </w:rPr>
            </w:pPr>
            <w:r w:rsidRPr="0069723B">
              <w:rPr>
                <w:sz w:val="20"/>
                <w:szCs w:val="20"/>
                <w:lang w:val="it-IT"/>
              </w:rPr>
              <w:t>System Center 2012 Configuration Manager</w:t>
            </w:r>
          </w:p>
          <w:p w:rsidR="00A131A4" w:rsidRPr="007073BE" w:rsidRDefault="00A131A4" w:rsidP="00D13B13">
            <w:pPr>
              <w:spacing w:before="0" w:after="0"/>
              <w:rPr>
                <w:sz w:val="20"/>
                <w:szCs w:val="20"/>
                <w:lang w:val="fr-FR"/>
              </w:rPr>
            </w:pPr>
            <w:r w:rsidRPr="0069723B">
              <w:rPr>
                <w:sz w:val="20"/>
                <w:szCs w:val="20"/>
                <w:lang w:val="it-IT"/>
              </w:rPr>
              <w:t>System Center 2012 Client Management Suite</w:t>
            </w:r>
          </w:p>
          <w:p w:rsidR="00A131A4" w:rsidRPr="0069723B" w:rsidRDefault="00A131A4" w:rsidP="00D13B13">
            <w:pPr>
              <w:spacing w:before="0" w:after="0"/>
              <w:rPr>
                <w:sz w:val="20"/>
                <w:szCs w:val="20"/>
              </w:rPr>
            </w:pPr>
            <w:r w:rsidRPr="0069723B">
              <w:rPr>
                <w:sz w:val="20"/>
                <w:szCs w:val="20"/>
                <w:lang w:val="it-IT"/>
              </w:rPr>
              <w:t>System Center 2012 Standard</w:t>
            </w:r>
          </w:p>
          <w:p w:rsidR="00A131A4" w:rsidRPr="0069723B" w:rsidRDefault="00A131A4" w:rsidP="00D13B13">
            <w:pPr>
              <w:spacing w:before="0" w:after="0"/>
              <w:rPr>
                <w:sz w:val="20"/>
                <w:szCs w:val="20"/>
              </w:rPr>
            </w:pPr>
            <w:r w:rsidRPr="0069723B">
              <w:rPr>
                <w:sz w:val="20"/>
                <w:szCs w:val="20"/>
                <w:lang w:val="it-IT"/>
              </w:rPr>
              <w:t>System Center 2012 Datacenter</w:t>
            </w:r>
          </w:p>
        </w:tc>
        <w:tc>
          <w:tcPr>
            <w:tcW w:w="5058" w:type="dxa"/>
          </w:tcPr>
          <w:p w:rsidR="00A131A4" w:rsidRPr="007073BE" w:rsidRDefault="00A131A4" w:rsidP="00D13B13">
            <w:pPr>
              <w:spacing w:before="0" w:after="0"/>
              <w:rPr>
                <w:sz w:val="20"/>
                <w:szCs w:val="20"/>
                <w:lang w:val="fr-FR"/>
              </w:rPr>
            </w:pPr>
            <w:r w:rsidRPr="0069723B">
              <w:rPr>
                <w:sz w:val="20"/>
                <w:szCs w:val="20"/>
                <w:lang w:val="it-IT"/>
              </w:rPr>
              <w:t>Configuration Manager Console</w:t>
            </w:r>
          </w:p>
          <w:p w:rsidR="00A131A4" w:rsidRPr="007073BE" w:rsidRDefault="00A131A4" w:rsidP="00D13B13">
            <w:pPr>
              <w:spacing w:before="0" w:after="0"/>
              <w:rPr>
                <w:sz w:val="20"/>
                <w:szCs w:val="20"/>
                <w:lang w:val="fr-FR"/>
              </w:rPr>
            </w:pPr>
            <w:r w:rsidRPr="0069723B">
              <w:rPr>
                <w:sz w:val="20"/>
                <w:szCs w:val="20"/>
                <w:lang w:val="it-IT"/>
              </w:rPr>
              <w:t>Configuration Manager Client</w:t>
            </w:r>
          </w:p>
          <w:p w:rsidR="00A131A4" w:rsidRPr="0069723B" w:rsidRDefault="00A131A4" w:rsidP="00D13B13">
            <w:pPr>
              <w:spacing w:before="0" w:after="0"/>
              <w:rPr>
                <w:sz w:val="20"/>
                <w:szCs w:val="20"/>
              </w:rPr>
            </w:pPr>
            <w:r w:rsidRPr="0069723B">
              <w:rPr>
                <w:sz w:val="20"/>
                <w:szCs w:val="20"/>
                <w:lang w:val="it-IT"/>
              </w:rPr>
              <w:t>Device Management Point</w:t>
            </w:r>
          </w:p>
          <w:p w:rsidR="00A131A4" w:rsidRPr="0069723B" w:rsidRDefault="00A131A4" w:rsidP="00D13B13">
            <w:pPr>
              <w:spacing w:before="0" w:after="0"/>
              <w:rPr>
                <w:sz w:val="20"/>
                <w:szCs w:val="20"/>
              </w:rPr>
            </w:pPr>
            <w:r w:rsidRPr="0069723B">
              <w:rPr>
                <w:sz w:val="20"/>
                <w:szCs w:val="20"/>
                <w:lang w:val="it-IT"/>
              </w:rPr>
              <w:t>Custom Updates Publishing Tool</w:t>
            </w:r>
          </w:p>
          <w:p w:rsidR="00A131A4" w:rsidRPr="0069723B" w:rsidRDefault="00A131A4" w:rsidP="00D13B13">
            <w:pPr>
              <w:spacing w:before="0" w:after="0"/>
              <w:rPr>
                <w:sz w:val="20"/>
                <w:szCs w:val="20"/>
              </w:rPr>
            </w:pPr>
            <w:r w:rsidRPr="0069723B">
              <w:rPr>
                <w:sz w:val="20"/>
                <w:szCs w:val="20"/>
                <w:lang w:val="it-IT"/>
              </w:rPr>
              <w:t>Distribution Point</w:t>
            </w:r>
          </w:p>
          <w:p w:rsidR="00A131A4" w:rsidRPr="0069723B" w:rsidRDefault="00A131A4" w:rsidP="00D13B13">
            <w:pPr>
              <w:spacing w:before="0" w:after="0"/>
              <w:rPr>
                <w:sz w:val="20"/>
                <w:szCs w:val="20"/>
              </w:rPr>
            </w:pPr>
            <w:r w:rsidRPr="0069723B">
              <w:rPr>
                <w:sz w:val="20"/>
                <w:szCs w:val="20"/>
                <w:lang w:val="it-IT"/>
              </w:rPr>
              <w:t>Fallback Status Point</w:t>
            </w:r>
          </w:p>
          <w:p w:rsidR="00A131A4" w:rsidRPr="0069723B" w:rsidRDefault="00A131A4" w:rsidP="00D13B13">
            <w:pPr>
              <w:spacing w:before="0" w:after="0"/>
              <w:rPr>
                <w:sz w:val="20"/>
                <w:szCs w:val="20"/>
              </w:rPr>
            </w:pPr>
            <w:r w:rsidRPr="0069723B">
              <w:rPr>
                <w:sz w:val="20"/>
                <w:szCs w:val="20"/>
                <w:lang w:val="it-IT"/>
              </w:rPr>
              <w:t>Inventory Tool for Microsoft Updates</w:t>
            </w:r>
          </w:p>
          <w:p w:rsidR="00A131A4" w:rsidRPr="0069723B" w:rsidRDefault="00A131A4" w:rsidP="00D13B13">
            <w:pPr>
              <w:spacing w:before="0" w:after="0"/>
              <w:rPr>
                <w:sz w:val="20"/>
                <w:szCs w:val="20"/>
              </w:rPr>
            </w:pPr>
            <w:r w:rsidRPr="0069723B">
              <w:rPr>
                <w:sz w:val="20"/>
                <w:szCs w:val="20"/>
                <w:lang w:val="it-IT"/>
              </w:rPr>
              <w:t>PXE Service Point</w:t>
            </w:r>
          </w:p>
          <w:p w:rsidR="00A131A4" w:rsidRPr="0069723B" w:rsidRDefault="00A131A4" w:rsidP="00D13B13">
            <w:pPr>
              <w:spacing w:before="0" w:after="0"/>
              <w:rPr>
                <w:sz w:val="20"/>
                <w:szCs w:val="20"/>
              </w:rPr>
            </w:pPr>
            <w:r w:rsidRPr="0069723B">
              <w:rPr>
                <w:sz w:val="20"/>
                <w:szCs w:val="20"/>
                <w:lang w:val="it-IT"/>
              </w:rPr>
              <w:t>Management Point</w:t>
            </w:r>
          </w:p>
          <w:p w:rsidR="00A131A4" w:rsidRPr="0069723B" w:rsidRDefault="00A131A4" w:rsidP="00D13B13">
            <w:pPr>
              <w:spacing w:before="0" w:after="0"/>
              <w:rPr>
                <w:sz w:val="20"/>
                <w:szCs w:val="20"/>
              </w:rPr>
            </w:pPr>
            <w:r w:rsidRPr="0069723B">
              <w:rPr>
                <w:sz w:val="20"/>
                <w:szCs w:val="20"/>
                <w:lang w:val="it-IT"/>
              </w:rPr>
              <w:t>Reporting Point</w:t>
            </w:r>
          </w:p>
          <w:p w:rsidR="00A131A4" w:rsidRPr="0069723B" w:rsidRDefault="00A131A4" w:rsidP="00D13B13">
            <w:pPr>
              <w:spacing w:before="0" w:after="0"/>
              <w:rPr>
                <w:sz w:val="20"/>
                <w:szCs w:val="20"/>
              </w:rPr>
            </w:pPr>
            <w:r w:rsidRPr="0069723B">
              <w:rPr>
                <w:sz w:val="20"/>
                <w:szCs w:val="20"/>
                <w:lang w:val="it-IT"/>
              </w:rPr>
              <w:t>Secondary Site Server</w:t>
            </w:r>
          </w:p>
          <w:p w:rsidR="00A131A4" w:rsidRPr="0069723B" w:rsidRDefault="00A131A4" w:rsidP="00D13B13">
            <w:pPr>
              <w:spacing w:before="0" w:after="0"/>
              <w:rPr>
                <w:sz w:val="20"/>
                <w:szCs w:val="20"/>
              </w:rPr>
            </w:pPr>
            <w:r w:rsidRPr="0069723B">
              <w:rPr>
                <w:sz w:val="20"/>
                <w:szCs w:val="20"/>
                <w:lang w:val="it-IT"/>
              </w:rPr>
              <w:t>Server Locator Point</w:t>
            </w:r>
          </w:p>
          <w:p w:rsidR="00A131A4" w:rsidRPr="0069723B" w:rsidRDefault="00A131A4" w:rsidP="00D13B13">
            <w:pPr>
              <w:spacing w:before="0" w:after="0"/>
              <w:rPr>
                <w:sz w:val="20"/>
                <w:szCs w:val="20"/>
              </w:rPr>
            </w:pPr>
            <w:r w:rsidRPr="0069723B">
              <w:rPr>
                <w:sz w:val="20"/>
                <w:szCs w:val="20"/>
                <w:lang w:val="it-IT"/>
              </w:rPr>
              <w:t>Software Update Point</w:t>
            </w:r>
          </w:p>
          <w:p w:rsidR="00A131A4" w:rsidRPr="0069723B" w:rsidRDefault="00A131A4" w:rsidP="00D13B13">
            <w:pPr>
              <w:spacing w:before="0" w:after="0"/>
              <w:rPr>
                <w:sz w:val="20"/>
                <w:szCs w:val="20"/>
              </w:rPr>
            </w:pPr>
            <w:r w:rsidRPr="0069723B">
              <w:rPr>
                <w:sz w:val="20"/>
                <w:szCs w:val="20"/>
                <w:lang w:val="it-IT"/>
              </w:rPr>
              <w:t>State Migration Point</w:t>
            </w:r>
          </w:p>
          <w:p w:rsidR="00A131A4" w:rsidRPr="0069723B" w:rsidRDefault="00A131A4" w:rsidP="00D13B13">
            <w:pPr>
              <w:spacing w:before="0" w:after="0"/>
              <w:rPr>
                <w:sz w:val="20"/>
                <w:szCs w:val="20"/>
              </w:rPr>
            </w:pPr>
            <w:r w:rsidRPr="0069723B">
              <w:rPr>
                <w:sz w:val="20"/>
                <w:szCs w:val="20"/>
                <w:lang w:val="it-IT"/>
              </w:rPr>
              <w:t>System Health Validator Point</w:t>
            </w:r>
          </w:p>
          <w:p w:rsidR="00A131A4" w:rsidRPr="0069723B" w:rsidRDefault="00A131A4" w:rsidP="00D13B13">
            <w:pPr>
              <w:spacing w:before="0" w:after="0"/>
              <w:rPr>
                <w:sz w:val="20"/>
                <w:szCs w:val="20"/>
              </w:rPr>
            </w:pPr>
            <w:r w:rsidRPr="0069723B">
              <w:rPr>
                <w:sz w:val="20"/>
                <w:szCs w:val="20"/>
                <w:lang w:val="it-IT"/>
              </w:rPr>
              <w:t>Out of Band Service Point</w:t>
            </w:r>
          </w:p>
          <w:p w:rsidR="00A131A4" w:rsidRPr="0069723B" w:rsidDel="003D4546" w:rsidRDefault="00A131A4" w:rsidP="00D13B13">
            <w:pPr>
              <w:pStyle w:val="ListParagraph"/>
              <w:spacing w:before="0" w:after="0"/>
              <w:ind w:left="332"/>
              <w:rPr>
                <w:sz w:val="20"/>
                <w:szCs w:val="20"/>
              </w:rPr>
            </w:pPr>
          </w:p>
        </w:tc>
      </w:tr>
      <w:tr w:rsidR="00A131A4" w:rsidRPr="0069723B" w:rsidTr="00D13B13">
        <w:trPr>
          <w:cantSplit/>
        </w:trPr>
        <w:tc>
          <w:tcPr>
            <w:tcW w:w="4518" w:type="dxa"/>
            <w:tcBorders>
              <w:bottom w:val="single" w:sz="4" w:space="0" w:color="auto"/>
            </w:tcBorders>
          </w:tcPr>
          <w:p w:rsidR="00A131A4" w:rsidRPr="0069723B" w:rsidRDefault="00A131A4" w:rsidP="00D13B13">
            <w:pPr>
              <w:spacing w:before="0" w:after="0"/>
              <w:rPr>
                <w:sz w:val="20"/>
                <w:szCs w:val="20"/>
              </w:rPr>
            </w:pPr>
            <w:r w:rsidRPr="0069723B">
              <w:rPr>
                <w:sz w:val="20"/>
                <w:szCs w:val="20"/>
                <w:lang w:val="it-IT"/>
              </w:rPr>
              <w:t>System Center 2012 Configuration Manager</w:t>
            </w:r>
            <w:r w:rsidRPr="0069723B">
              <w:rPr>
                <w:sz w:val="20"/>
                <w:szCs w:val="20"/>
              </w:rPr>
              <w:t xml:space="preserve"> </w:t>
            </w:r>
          </w:p>
          <w:p w:rsidR="00A131A4" w:rsidRPr="0069723B" w:rsidRDefault="00A131A4" w:rsidP="00D13B13">
            <w:pPr>
              <w:spacing w:before="0" w:after="0"/>
              <w:rPr>
                <w:sz w:val="20"/>
                <w:szCs w:val="20"/>
              </w:rPr>
            </w:pPr>
            <w:r w:rsidRPr="0069723B">
              <w:rPr>
                <w:sz w:val="20"/>
                <w:szCs w:val="20"/>
                <w:lang w:val="it-IT"/>
              </w:rPr>
              <w:t>System Center 2012 Standard</w:t>
            </w:r>
          </w:p>
          <w:p w:rsidR="00A131A4" w:rsidRPr="0069723B" w:rsidRDefault="00A131A4" w:rsidP="00D13B13">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A131A4" w:rsidRPr="00694925" w:rsidRDefault="00A131A4" w:rsidP="00D13B13">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A131A4" w:rsidRPr="00694925" w:rsidRDefault="00A131A4" w:rsidP="00D13B13">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A131A4" w:rsidRPr="00694925" w:rsidRDefault="00A131A4" w:rsidP="00D13B13">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A131A4" w:rsidRPr="00694925" w:rsidRDefault="00A131A4" w:rsidP="00D13B13">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A131A4" w:rsidRPr="00694925" w:rsidRDefault="00A131A4" w:rsidP="00D13B13">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A131A4" w:rsidRPr="00694925" w:rsidRDefault="00A131A4" w:rsidP="00D13B13">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A131A4" w:rsidRPr="00694925" w:rsidRDefault="00A131A4" w:rsidP="00D13B13">
            <w:pPr>
              <w:pStyle w:val="Bullet3"/>
              <w:numPr>
                <w:ilvl w:val="0"/>
                <w:numId w:val="0"/>
              </w:numPr>
              <w:tabs>
                <w:tab w:val="center" w:pos="0"/>
              </w:tabs>
              <w:spacing w:before="0" w:after="0" w:line="240" w:lineRule="exact"/>
              <w:rPr>
                <w:rFonts w:cs="Tahoma"/>
                <w:sz w:val="20"/>
              </w:rPr>
            </w:pPr>
          </w:p>
        </w:tc>
      </w:tr>
      <w:tr w:rsidR="00A131A4" w:rsidRPr="0069723B" w:rsidTr="00D13B13">
        <w:trPr>
          <w:cantSplit/>
        </w:trPr>
        <w:tc>
          <w:tcPr>
            <w:tcW w:w="4518" w:type="dxa"/>
            <w:tcBorders>
              <w:bottom w:val="single" w:sz="4" w:space="0" w:color="auto"/>
            </w:tcBorders>
          </w:tcPr>
          <w:p w:rsidR="00A131A4" w:rsidRPr="0069723B" w:rsidRDefault="00A131A4" w:rsidP="00D13B13">
            <w:pPr>
              <w:spacing w:before="0" w:after="0"/>
              <w:rPr>
                <w:sz w:val="20"/>
                <w:szCs w:val="20"/>
              </w:rPr>
            </w:pPr>
            <w:r w:rsidRPr="0069723B">
              <w:rPr>
                <w:sz w:val="20"/>
                <w:szCs w:val="20"/>
                <w:lang w:val="it-IT"/>
              </w:rPr>
              <w:t>System Center 2012 Client Management Suite</w:t>
            </w:r>
          </w:p>
          <w:p w:rsidR="00A131A4" w:rsidRPr="0069723B" w:rsidRDefault="00A131A4" w:rsidP="00D13B13">
            <w:pPr>
              <w:spacing w:before="0" w:after="0"/>
              <w:rPr>
                <w:sz w:val="20"/>
                <w:szCs w:val="20"/>
              </w:rPr>
            </w:pPr>
            <w:r w:rsidRPr="0069723B">
              <w:rPr>
                <w:sz w:val="20"/>
                <w:szCs w:val="20"/>
                <w:lang w:val="it-IT"/>
              </w:rPr>
              <w:t>System Center 2012 Standard</w:t>
            </w:r>
          </w:p>
          <w:p w:rsidR="00A131A4" w:rsidRPr="0069723B" w:rsidRDefault="00A131A4" w:rsidP="00D13B13">
            <w:pPr>
              <w:spacing w:before="0" w:after="0"/>
              <w:rPr>
                <w:sz w:val="20"/>
                <w:szCs w:val="20"/>
              </w:rPr>
            </w:pPr>
            <w:r w:rsidRPr="0069723B">
              <w:rPr>
                <w:sz w:val="20"/>
                <w:szCs w:val="20"/>
                <w:lang w:val="it-IT"/>
              </w:rPr>
              <w:t>System Center 2012 Datacenter</w:t>
            </w:r>
          </w:p>
          <w:p w:rsidR="00A131A4" w:rsidRPr="0069723B" w:rsidRDefault="00A131A4" w:rsidP="00D13B13">
            <w:pPr>
              <w:spacing w:before="0" w:after="0"/>
              <w:rPr>
                <w:sz w:val="20"/>
                <w:szCs w:val="20"/>
              </w:rPr>
            </w:pPr>
          </w:p>
          <w:p w:rsidR="00A131A4" w:rsidRPr="0069723B" w:rsidDel="007333B6" w:rsidRDefault="00A131A4" w:rsidP="00D13B13">
            <w:pPr>
              <w:spacing w:before="0" w:after="0"/>
              <w:rPr>
                <w:sz w:val="20"/>
                <w:szCs w:val="20"/>
              </w:rPr>
            </w:pPr>
          </w:p>
        </w:tc>
        <w:tc>
          <w:tcPr>
            <w:tcW w:w="5058" w:type="dxa"/>
            <w:tcBorders>
              <w:bottom w:val="single" w:sz="4" w:space="0" w:color="auto"/>
            </w:tcBorders>
          </w:tcPr>
          <w:p w:rsidR="00A131A4" w:rsidRPr="0069723B" w:rsidRDefault="00A131A4" w:rsidP="00D13B13">
            <w:pPr>
              <w:spacing w:before="0" w:after="0"/>
              <w:rPr>
                <w:sz w:val="20"/>
                <w:szCs w:val="20"/>
              </w:rPr>
            </w:pPr>
            <w:r w:rsidRPr="0069723B">
              <w:rPr>
                <w:sz w:val="20"/>
                <w:szCs w:val="20"/>
                <w:lang w:val="it-IT"/>
              </w:rPr>
              <w:t>Software Audit Collection Services</w:t>
            </w:r>
          </w:p>
          <w:p w:rsidR="00A131A4" w:rsidRPr="0069723B" w:rsidRDefault="00A131A4" w:rsidP="00D13B13">
            <w:pPr>
              <w:spacing w:before="0" w:after="0"/>
              <w:rPr>
                <w:sz w:val="20"/>
                <w:szCs w:val="20"/>
              </w:rPr>
            </w:pPr>
            <w:r w:rsidRPr="0069723B">
              <w:rPr>
                <w:sz w:val="20"/>
                <w:szCs w:val="20"/>
                <w:lang w:val="it-IT"/>
              </w:rPr>
              <w:t>Connector Framework</w:t>
            </w:r>
          </w:p>
          <w:p w:rsidR="00A131A4" w:rsidRPr="0069723B" w:rsidRDefault="00A131A4" w:rsidP="00D13B13">
            <w:pPr>
              <w:spacing w:before="0" w:after="0"/>
              <w:rPr>
                <w:sz w:val="20"/>
                <w:szCs w:val="20"/>
              </w:rPr>
            </w:pPr>
            <w:r w:rsidRPr="0069723B">
              <w:rPr>
                <w:sz w:val="20"/>
                <w:szCs w:val="20"/>
                <w:lang w:val="it-IT"/>
              </w:rPr>
              <w:t>Power Shell</w:t>
            </w:r>
          </w:p>
          <w:p w:rsidR="00A131A4" w:rsidRPr="0069723B" w:rsidRDefault="00A131A4" w:rsidP="00D13B13">
            <w:pPr>
              <w:spacing w:before="0" w:after="0"/>
              <w:rPr>
                <w:sz w:val="20"/>
                <w:szCs w:val="20"/>
              </w:rPr>
            </w:pPr>
            <w:r w:rsidRPr="0069723B">
              <w:rPr>
                <w:sz w:val="20"/>
                <w:szCs w:val="20"/>
                <w:lang w:val="it-IT"/>
              </w:rPr>
              <w:t>Analysis Services Shared Tools</w:t>
            </w:r>
          </w:p>
          <w:p w:rsidR="00A131A4" w:rsidRPr="0069723B" w:rsidRDefault="00A131A4" w:rsidP="00D13B13">
            <w:pPr>
              <w:spacing w:before="0" w:after="0"/>
              <w:ind w:left="720"/>
              <w:rPr>
                <w:sz w:val="20"/>
                <w:szCs w:val="20"/>
              </w:rPr>
            </w:pPr>
            <w:r w:rsidRPr="0069723B">
              <w:rPr>
                <w:sz w:val="20"/>
                <w:szCs w:val="20"/>
                <w:lang w:val="it-IT"/>
              </w:rPr>
              <w:t>Business Intelligence Development Studio</w:t>
            </w:r>
          </w:p>
          <w:p w:rsidR="00A131A4" w:rsidRPr="0069723B" w:rsidRDefault="00A131A4" w:rsidP="00D13B13">
            <w:pPr>
              <w:spacing w:before="0" w:after="0"/>
              <w:ind w:left="720"/>
              <w:rPr>
                <w:sz w:val="20"/>
                <w:szCs w:val="20"/>
              </w:rPr>
            </w:pPr>
            <w:r w:rsidRPr="0069723B">
              <w:rPr>
                <w:sz w:val="20"/>
                <w:szCs w:val="20"/>
                <w:lang w:val="it-IT"/>
              </w:rPr>
              <w:t>Connectivity Components</w:t>
            </w:r>
          </w:p>
          <w:p w:rsidR="00A131A4" w:rsidRPr="007073BE" w:rsidRDefault="00A131A4" w:rsidP="00D13B13">
            <w:pPr>
              <w:spacing w:before="0" w:after="0"/>
              <w:ind w:left="720"/>
              <w:rPr>
                <w:sz w:val="20"/>
                <w:szCs w:val="20"/>
                <w:lang w:val="fr-FR"/>
              </w:rPr>
            </w:pPr>
            <w:r w:rsidRPr="0069723B">
              <w:rPr>
                <w:sz w:val="20"/>
                <w:szCs w:val="20"/>
                <w:lang w:val="it-IT"/>
              </w:rPr>
              <w:t>Legacy Components</w:t>
            </w:r>
          </w:p>
          <w:p w:rsidR="00A131A4" w:rsidRPr="007073BE" w:rsidRDefault="00A131A4" w:rsidP="00D13B13">
            <w:pPr>
              <w:spacing w:before="0" w:after="0"/>
              <w:ind w:left="720"/>
              <w:rPr>
                <w:sz w:val="20"/>
                <w:szCs w:val="20"/>
                <w:lang w:val="fr-FR"/>
              </w:rPr>
            </w:pPr>
            <w:r w:rsidRPr="0069723B">
              <w:rPr>
                <w:sz w:val="20"/>
                <w:szCs w:val="20"/>
                <w:lang w:val="it-IT"/>
              </w:rPr>
              <w:t>Strumenti di Gestione</w:t>
            </w:r>
          </w:p>
          <w:p w:rsidR="00A131A4" w:rsidRPr="007073BE" w:rsidRDefault="00A131A4" w:rsidP="00D13B13">
            <w:pPr>
              <w:spacing w:before="0" w:after="0"/>
              <w:ind w:left="720"/>
              <w:rPr>
                <w:sz w:val="20"/>
                <w:szCs w:val="20"/>
                <w:lang w:val="fr-FR"/>
              </w:rPr>
            </w:pPr>
            <w:r w:rsidRPr="0069723B">
              <w:rPr>
                <w:sz w:val="20"/>
                <w:szCs w:val="20"/>
                <w:lang w:val="it-IT"/>
              </w:rPr>
              <w:t>Componenti Client di Notification Services</w:t>
            </w:r>
          </w:p>
          <w:p w:rsidR="00A131A4" w:rsidRPr="007073BE" w:rsidRDefault="00A131A4" w:rsidP="00D13B13">
            <w:pPr>
              <w:spacing w:before="0" w:after="0"/>
              <w:ind w:left="720"/>
              <w:rPr>
                <w:sz w:val="20"/>
                <w:szCs w:val="20"/>
                <w:lang w:val="fr-FR"/>
              </w:rPr>
            </w:pPr>
            <w:r w:rsidRPr="0069723B">
              <w:rPr>
                <w:sz w:val="20"/>
                <w:szCs w:val="20"/>
                <w:lang w:val="it-IT"/>
              </w:rPr>
              <w:t>Gestione Report di Reporting Services</w:t>
            </w:r>
          </w:p>
          <w:p w:rsidR="00A131A4" w:rsidRPr="007073BE" w:rsidRDefault="00A131A4" w:rsidP="00D13B13">
            <w:pPr>
              <w:spacing w:before="0" w:after="0"/>
              <w:ind w:left="720"/>
              <w:rPr>
                <w:sz w:val="20"/>
                <w:szCs w:val="20"/>
                <w:lang w:val="fr-FR"/>
              </w:rPr>
            </w:pPr>
            <w:r w:rsidRPr="0069723B">
              <w:rPr>
                <w:sz w:val="20"/>
                <w:szCs w:val="20"/>
                <w:lang w:val="it-IT"/>
              </w:rPr>
              <w:t>Strumenti Condivisi di Reporting Services</w:t>
            </w:r>
          </w:p>
          <w:p w:rsidR="00A131A4" w:rsidRPr="007073BE" w:rsidRDefault="00A131A4" w:rsidP="00D13B13">
            <w:pPr>
              <w:spacing w:before="0" w:after="0"/>
              <w:ind w:left="720"/>
              <w:rPr>
                <w:sz w:val="20"/>
                <w:szCs w:val="20"/>
                <w:lang w:val="fr-FR"/>
              </w:rPr>
            </w:pPr>
            <w:r w:rsidRPr="0069723B">
              <w:rPr>
                <w:sz w:val="20"/>
                <w:szCs w:val="20"/>
                <w:lang w:val="it-IT"/>
              </w:rPr>
              <w:t>Strumenti Condivisi di SQL Server 2008</w:t>
            </w:r>
          </w:p>
          <w:p w:rsidR="00A131A4" w:rsidRPr="007073BE" w:rsidRDefault="00A131A4" w:rsidP="00D13B13">
            <w:pPr>
              <w:spacing w:before="0" w:after="0"/>
              <w:ind w:left="720"/>
              <w:rPr>
                <w:sz w:val="20"/>
                <w:szCs w:val="20"/>
                <w:lang w:val="fr-FR"/>
              </w:rPr>
            </w:pPr>
            <w:r w:rsidRPr="0069723B">
              <w:rPr>
                <w:sz w:val="20"/>
                <w:szCs w:val="20"/>
                <w:lang w:val="it-IT"/>
              </w:rPr>
              <w:t>Software Development Kit</w:t>
            </w:r>
          </w:p>
          <w:p w:rsidR="00A131A4" w:rsidRPr="007073BE" w:rsidRDefault="00A131A4" w:rsidP="00D13B13">
            <w:pPr>
              <w:spacing w:before="0" w:after="0"/>
              <w:ind w:left="720"/>
              <w:rPr>
                <w:sz w:val="20"/>
                <w:szCs w:val="20"/>
                <w:lang w:val="fr-FR"/>
              </w:rPr>
            </w:pPr>
            <w:r w:rsidRPr="0069723B">
              <w:rPr>
                <w:sz w:val="20"/>
                <w:szCs w:val="20"/>
                <w:lang w:val="it-IT"/>
              </w:rPr>
              <w:t>Funzionalità Client SQLXML</w:t>
            </w:r>
          </w:p>
          <w:p w:rsidR="00A131A4" w:rsidRPr="0069723B" w:rsidRDefault="00A131A4" w:rsidP="00D13B13">
            <w:pPr>
              <w:spacing w:before="0" w:after="0"/>
              <w:ind w:left="720"/>
              <w:rPr>
                <w:sz w:val="20"/>
                <w:szCs w:val="20"/>
              </w:rPr>
            </w:pPr>
            <w:r w:rsidRPr="0069723B">
              <w:rPr>
                <w:sz w:val="20"/>
                <w:szCs w:val="20"/>
                <w:lang w:val="it-IT"/>
              </w:rPr>
              <w:t>Documentazione In Linea di SQL Server 2008</w:t>
            </w:r>
          </w:p>
          <w:p w:rsidR="00A131A4" w:rsidRPr="0069723B" w:rsidDel="007333B6" w:rsidRDefault="00A131A4" w:rsidP="00D13B13">
            <w:pPr>
              <w:spacing w:before="0" w:after="0"/>
              <w:ind w:left="720"/>
              <w:rPr>
                <w:sz w:val="20"/>
                <w:szCs w:val="20"/>
              </w:rPr>
            </w:pPr>
            <w:r w:rsidRPr="0069723B">
              <w:rPr>
                <w:sz w:val="20"/>
                <w:szCs w:val="20"/>
                <w:lang w:val="it-IT"/>
              </w:rPr>
              <w:t>Strumenti Server di SQL Server Mobile</w:t>
            </w:r>
          </w:p>
        </w:tc>
      </w:tr>
      <w:tr w:rsidR="00A131A4" w:rsidRPr="0069723B" w:rsidTr="00D13B13">
        <w:trPr>
          <w:cantSplit/>
        </w:trPr>
        <w:tc>
          <w:tcPr>
            <w:tcW w:w="4518" w:type="dxa"/>
            <w:tcBorders>
              <w:top w:val="single" w:sz="4" w:space="0" w:color="auto"/>
            </w:tcBorders>
          </w:tcPr>
          <w:p w:rsidR="00A131A4" w:rsidRPr="0069723B" w:rsidRDefault="00A131A4" w:rsidP="00D13B13">
            <w:pPr>
              <w:spacing w:before="0" w:after="0"/>
              <w:rPr>
                <w:sz w:val="20"/>
                <w:szCs w:val="20"/>
              </w:rPr>
            </w:pPr>
          </w:p>
        </w:tc>
        <w:tc>
          <w:tcPr>
            <w:tcW w:w="5058" w:type="dxa"/>
            <w:tcBorders>
              <w:top w:val="single" w:sz="4" w:space="0" w:color="auto"/>
            </w:tcBorders>
          </w:tcPr>
          <w:p w:rsidR="00A131A4" w:rsidRPr="0069723B" w:rsidRDefault="00A131A4" w:rsidP="00D13B13">
            <w:pPr>
              <w:tabs>
                <w:tab w:val="left" w:pos="-28"/>
                <w:tab w:val="left" w:pos="1080"/>
              </w:tabs>
              <w:spacing w:before="0" w:after="0"/>
              <w:ind w:left="1080" w:hanging="1108"/>
              <w:rPr>
                <w:sz w:val="20"/>
                <w:szCs w:val="20"/>
              </w:rPr>
            </w:pPr>
            <w:r w:rsidRPr="0069723B">
              <w:rPr>
                <w:sz w:val="20"/>
                <w:szCs w:val="20"/>
                <w:lang w:val="it-IT"/>
              </w:rPr>
              <w:t>Server di gestione data warehouse</w:t>
            </w:r>
          </w:p>
          <w:p w:rsidR="00A131A4" w:rsidRPr="0069723B" w:rsidRDefault="00A131A4" w:rsidP="00D13B13">
            <w:pPr>
              <w:tabs>
                <w:tab w:val="left" w:pos="220"/>
                <w:tab w:val="left" w:pos="1080"/>
              </w:tabs>
              <w:spacing w:before="0" w:after="0"/>
              <w:ind w:left="1080" w:hanging="1108"/>
              <w:rPr>
                <w:sz w:val="20"/>
                <w:szCs w:val="20"/>
              </w:rPr>
            </w:pPr>
            <w:r w:rsidRPr="0069723B">
              <w:rPr>
                <w:sz w:val="20"/>
                <w:szCs w:val="20"/>
                <w:lang w:val="it-IT"/>
              </w:rPr>
              <w:t>Database data warehouse</w:t>
            </w:r>
          </w:p>
          <w:p w:rsidR="00A131A4" w:rsidRPr="0069723B" w:rsidRDefault="00A131A4" w:rsidP="00D13B13">
            <w:pPr>
              <w:tabs>
                <w:tab w:val="left" w:pos="220"/>
                <w:tab w:val="left" w:pos="1080"/>
              </w:tabs>
              <w:spacing w:before="0" w:after="0"/>
              <w:rPr>
                <w:sz w:val="20"/>
                <w:szCs w:val="20"/>
              </w:rPr>
            </w:pPr>
            <w:r w:rsidRPr="0069723B">
              <w:rPr>
                <w:sz w:val="20"/>
                <w:szCs w:val="20"/>
                <w:lang w:val="it-IT"/>
              </w:rPr>
              <w:t>Console Service Manager</w:t>
            </w:r>
          </w:p>
          <w:p w:rsidR="00A131A4" w:rsidRPr="0069723B" w:rsidRDefault="00A131A4" w:rsidP="00D13B13">
            <w:pPr>
              <w:tabs>
                <w:tab w:val="left" w:pos="220"/>
                <w:tab w:val="left" w:pos="1080"/>
              </w:tabs>
              <w:spacing w:before="0" w:after="0"/>
              <w:ind w:left="1080" w:hanging="1108"/>
              <w:rPr>
                <w:sz w:val="20"/>
                <w:szCs w:val="20"/>
              </w:rPr>
            </w:pPr>
            <w:r w:rsidRPr="0069723B">
              <w:rPr>
                <w:sz w:val="20"/>
                <w:szCs w:val="20"/>
                <w:lang w:val="it-IT"/>
              </w:rPr>
              <w:t>Portale self-service</w:t>
            </w:r>
          </w:p>
          <w:p w:rsidR="00A131A4" w:rsidRPr="0069723B" w:rsidDel="000E3B49" w:rsidRDefault="00A131A4" w:rsidP="00D13B13">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A131A4" w:rsidRPr="0069723B" w:rsidRDefault="00A131A4" w:rsidP="00D13B13">
            <w:pPr>
              <w:pStyle w:val="Bullet4"/>
              <w:numPr>
                <w:ilvl w:val="0"/>
                <w:numId w:val="0"/>
              </w:numPr>
              <w:spacing w:before="0" w:after="0"/>
              <w:ind w:hanging="388"/>
              <w:rPr>
                <w:sz w:val="20"/>
                <w:szCs w:val="20"/>
              </w:rPr>
            </w:pPr>
          </w:p>
        </w:tc>
      </w:tr>
      <w:tr w:rsidR="00A131A4" w:rsidRPr="0069723B" w:rsidTr="00D13B13">
        <w:trPr>
          <w:cantSplit/>
        </w:trPr>
        <w:tc>
          <w:tcPr>
            <w:tcW w:w="4518" w:type="dxa"/>
          </w:tcPr>
          <w:p w:rsidR="00A131A4" w:rsidRPr="007073BE" w:rsidRDefault="00A131A4" w:rsidP="00D13B13">
            <w:pPr>
              <w:spacing w:before="0" w:after="0"/>
              <w:rPr>
                <w:sz w:val="20"/>
                <w:szCs w:val="20"/>
                <w:lang w:val="fr-FR"/>
              </w:rPr>
            </w:pPr>
            <w:r w:rsidRPr="0069723B">
              <w:rPr>
                <w:sz w:val="20"/>
                <w:szCs w:val="20"/>
                <w:lang w:val="it-IT"/>
              </w:rPr>
              <w:t>Continua</w:t>
            </w:r>
          </w:p>
          <w:p w:rsidR="00A131A4" w:rsidRPr="007073BE" w:rsidRDefault="00A131A4" w:rsidP="00D13B13">
            <w:pPr>
              <w:spacing w:before="0" w:after="0"/>
              <w:rPr>
                <w:sz w:val="20"/>
                <w:szCs w:val="20"/>
                <w:lang w:val="fr-FR"/>
              </w:rPr>
            </w:pPr>
          </w:p>
          <w:p w:rsidR="00A131A4" w:rsidRPr="007073BE" w:rsidRDefault="00A131A4" w:rsidP="00D13B13">
            <w:pPr>
              <w:spacing w:before="0" w:after="0"/>
              <w:rPr>
                <w:sz w:val="20"/>
                <w:szCs w:val="20"/>
                <w:lang w:val="fr-FR"/>
              </w:rPr>
            </w:pPr>
            <w:r w:rsidRPr="0069723B">
              <w:rPr>
                <w:sz w:val="20"/>
                <w:szCs w:val="20"/>
                <w:lang w:val="it-IT"/>
              </w:rPr>
              <w:t>System Center 2012 Client Management Suite</w:t>
            </w:r>
          </w:p>
          <w:p w:rsidR="00A131A4" w:rsidRPr="0069723B" w:rsidRDefault="00A131A4" w:rsidP="00D13B13">
            <w:pPr>
              <w:spacing w:before="0" w:after="0"/>
              <w:rPr>
                <w:sz w:val="20"/>
                <w:szCs w:val="20"/>
              </w:rPr>
            </w:pPr>
            <w:r w:rsidRPr="0069723B">
              <w:rPr>
                <w:sz w:val="20"/>
                <w:szCs w:val="20"/>
                <w:lang w:val="it-IT"/>
              </w:rPr>
              <w:t>System Center 2012 Standard</w:t>
            </w:r>
          </w:p>
          <w:p w:rsidR="00A131A4" w:rsidRPr="0069723B" w:rsidRDefault="00A131A4" w:rsidP="00D13B13">
            <w:pPr>
              <w:spacing w:before="0" w:after="0"/>
              <w:rPr>
                <w:sz w:val="20"/>
                <w:szCs w:val="20"/>
              </w:rPr>
            </w:pPr>
            <w:r w:rsidRPr="0069723B">
              <w:rPr>
                <w:sz w:val="20"/>
                <w:szCs w:val="20"/>
                <w:lang w:val="it-IT"/>
              </w:rPr>
              <w:t>System Center 2012 Datacenter</w:t>
            </w:r>
          </w:p>
          <w:p w:rsidR="00A131A4" w:rsidRPr="0069723B" w:rsidDel="001675AF" w:rsidRDefault="00A131A4" w:rsidP="00D13B13">
            <w:pPr>
              <w:spacing w:before="0" w:after="0"/>
              <w:rPr>
                <w:sz w:val="20"/>
                <w:szCs w:val="20"/>
              </w:rPr>
            </w:pPr>
          </w:p>
        </w:tc>
        <w:tc>
          <w:tcPr>
            <w:tcW w:w="5058" w:type="dxa"/>
          </w:tcPr>
          <w:p w:rsidR="00A131A4" w:rsidRPr="0069723B" w:rsidRDefault="00A131A4" w:rsidP="00D13B13">
            <w:pPr>
              <w:pStyle w:val="Bullet4"/>
              <w:numPr>
                <w:ilvl w:val="0"/>
                <w:numId w:val="0"/>
              </w:numPr>
              <w:spacing w:before="0" w:after="0"/>
              <w:ind w:hanging="388"/>
              <w:rPr>
                <w:sz w:val="20"/>
                <w:szCs w:val="20"/>
              </w:rPr>
            </w:pPr>
            <w:r w:rsidRPr="0069723B">
              <w:rPr>
                <w:sz w:val="20"/>
                <w:szCs w:val="20"/>
                <w:lang w:val="it-IT"/>
              </w:rPr>
              <w:t>AV Avicode Incident Snapshot Utility</w:t>
            </w:r>
          </w:p>
          <w:p w:rsidR="00A131A4" w:rsidRPr="0069723B" w:rsidRDefault="00A131A4" w:rsidP="00D13B13">
            <w:pPr>
              <w:pStyle w:val="Bullet4"/>
              <w:numPr>
                <w:ilvl w:val="0"/>
                <w:numId w:val="8"/>
              </w:numPr>
              <w:spacing w:before="0" w:after="0"/>
              <w:ind w:left="422" w:hanging="270"/>
              <w:rPr>
                <w:sz w:val="20"/>
                <w:szCs w:val="20"/>
              </w:rPr>
            </w:pPr>
            <w:r w:rsidRPr="0069723B">
              <w:rPr>
                <w:sz w:val="20"/>
                <w:szCs w:val="20"/>
                <w:lang w:val="it-IT"/>
              </w:rPr>
              <w:t>AVIcode Incident Upload Utility</w:t>
            </w:r>
          </w:p>
          <w:p w:rsidR="00A131A4" w:rsidRPr="0069723B" w:rsidRDefault="00A131A4" w:rsidP="00D13B13">
            <w:pPr>
              <w:pStyle w:val="Bullet4"/>
              <w:numPr>
                <w:ilvl w:val="0"/>
                <w:numId w:val="8"/>
              </w:numPr>
              <w:spacing w:before="0" w:after="0"/>
              <w:ind w:left="422" w:hanging="270"/>
              <w:rPr>
                <w:sz w:val="20"/>
                <w:szCs w:val="20"/>
              </w:rPr>
            </w:pPr>
            <w:r w:rsidRPr="0069723B">
              <w:rPr>
                <w:sz w:val="20"/>
                <w:szCs w:val="20"/>
                <w:lang w:val="it-IT"/>
              </w:rPr>
              <w:t>AVIcode Intercept Agent</w:t>
            </w:r>
          </w:p>
          <w:p w:rsidR="00A131A4" w:rsidRPr="0069723B" w:rsidRDefault="00A131A4" w:rsidP="00D13B13">
            <w:pPr>
              <w:pStyle w:val="Bullet4"/>
              <w:numPr>
                <w:ilvl w:val="0"/>
                <w:numId w:val="8"/>
              </w:numPr>
              <w:spacing w:before="0" w:after="0"/>
              <w:ind w:left="422" w:hanging="270"/>
              <w:rPr>
                <w:sz w:val="20"/>
                <w:szCs w:val="20"/>
              </w:rPr>
            </w:pPr>
            <w:r w:rsidRPr="0069723B">
              <w:rPr>
                <w:sz w:val="20"/>
                <w:szCs w:val="20"/>
                <w:lang w:val="it-IT"/>
              </w:rPr>
              <w:t>AVIcode Intercept SE-Viewer</w:t>
            </w:r>
          </w:p>
          <w:p w:rsidR="00A131A4" w:rsidRPr="0069723B" w:rsidRDefault="00A131A4" w:rsidP="00D13B13">
            <w:pPr>
              <w:pStyle w:val="Bullet4"/>
              <w:numPr>
                <w:ilvl w:val="0"/>
                <w:numId w:val="0"/>
              </w:numPr>
              <w:spacing w:before="0" w:after="0"/>
              <w:rPr>
                <w:sz w:val="20"/>
                <w:szCs w:val="20"/>
              </w:rPr>
            </w:pPr>
            <w:r w:rsidRPr="0069723B">
              <w:rPr>
                <w:sz w:val="20"/>
                <w:szCs w:val="20"/>
                <w:lang w:val="it-IT"/>
              </w:rPr>
              <w:t>AVIcode Intercept Visual Studio Plug-In</w:t>
            </w:r>
          </w:p>
          <w:p w:rsidR="00A131A4" w:rsidRPr="0069723B" w:rsidRDefault="00A131A4" w:rsidP="00D13B13">
            <w:pPr>
              <w:pStyle w:val="Bullet4"/>
              <w:numPr>
                <w:ilvl w:val="0"/>
                <w:numId w:val="0"/>
              </w:numPr>
              <w:spacing w:before="0" w:after="0"/>
              <w:rPr>
                <w:sz w:val="20"/>
                <w:szCs w:val="20"/>
              </w:rPr>
            </w:pPr>
            <w:r w:rsidRPr="0069723B">
              <w:rPr>
                <w:sz w:val="20"/>
                <w:szCs w:val="20"/>
                <w:lang w:val="it-IT"/>
              </w:rPr>
              <w:t>AVIcode BizTalk Application Cartridge</w:t>
            </w:r>
          </w:p>
          <w:p w:rsidR="00A131A4" w:rsidRPr="0069723B" w:rsidRDefault="00A131A4" w:rsidP="00D13B13">
            <w:pPr>
              <w:pStyle w:val="Bullet4"/>
              <w:numPr>
                <w:ilvl w:val="0"/>
                <w:numId w:val="0"/>
              </w:numPr>
              <w:spacing w:before="0" w:after="0"/>
              <w:rPr>
                <w:sz w:val="20"/>
                <w:szCs w:val="20"/>
              </w:rPr>
            </w:pPr>
            <w:r w:rsidRPr="0069723B">
              <w:rPr>
                <w:sz w:val="20"/>
                <w:szCs w:val="20"/>
                <w:lang w:val="it-IT"/>
              </w:rPr>
              <w:t>AVIcode SharePoint Application Cartridge</w:t>
            </w:r>
          </w:p>
          <w:p w:rsidR="00A131A4" w:rsidRPr="0069723B" w:rsidRDefault="00A131A4" w:rsidP="00D13B13">
            <w:pPr>
              <w:pStyle w:val="Bullet4"/>
              <w:numPr>
                <w:ilvl w:val="0"/>
                <w:numId w:val="0"/>
              </w:numPr>
              <w:spacing w:before="0" w:after="0"/>
              <w:rPr>
                <w:sz w:val="20"/>
                <w:szCs w:val="20"/>
              </w:rPr>
            </w:pPr>
            <w:r w:rsidRPr="0069723B">
              <w:rPr>
                <w:sz w:val="20"/>
                <w:szCs w:val="20"/>
                <w:lang w:val="it-IT"/>
              </w:rPr>
              <w:t>AVIcode Reporting Services Cartridge</w:t>
            </w:r>
          </w:p>
          <w:p w:rsidR="00A131A4" w:rsidRPr="0069723B" w:rsidRDefault="00A131A4" w:rsidP="00D13B13">
            <w:pPr>
              <w:pStyle w:val="Bullet4"/>
              <w:numPr>
                <w:ilvl w:val="0"/>
                <w:numId w:val="0"/>
              </w:numPr>
              <w:spacing w:before="0" w:after="0"/>
              <w:rPr>
                <w:sz w:val="20"/>
                <w:szCs w:val="20"/>
              </w:rPr>
            </w:pPr>
            <w:r w:rsidRPr="0069723B">
              <w:rPr>
                <w:sz w:val="20"/>
                <w:szCs w:val="20"/>
                <w:lang w:val="it-IT"/>
              </w:rPr>
              <w:t>AVIcode Advisor 5.7</w:t>
            </w:r>
          </w:p>
          <w:p w:rsidR="00A131A4" w:rsidRPr="0069723B" w:rsidRDefault="00A131A4" w:rsidP="00D13B13">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A131A4" w:rsidRPr="0069723B" w:rsidRDefault="00A131A4" w:rsidP="00D13B13">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A131A4" w:rsidRPr="0069723B" w:rsidRDefault="00A131A4" w:rsidP="00D13B13">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Pr="0069723B">
              <w:rPr>
                <w:sz w:val="20"/>
                <w:szCs w:val="20"/>
              </w:rPr>
              <w:t xml:space="preserve"> </w:t>
            </w:r>
          </w:p>
          <w:p w:rsidR="00A131A4" w:rsidRPr="0069723B" w:rsidRDefault="00A131A4" w:rsidP="00D13B13">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Pr="0069723B">
              <w:rPr>
                <w:sz w:val="20"/>
                <w:szCs w:val="20"/>
              </w:rPr>
              <w:t xml:space="preserve"> </w:t>
            </w:r>
          </w:p>
          <w:p w:rsidR="00A131A4" w:rsidRPr="0069723B" w:rsidRDefault="00A131A4" w:rsidP="00D13B13">
            <w:pPr>
              <w:spacing w:before="0" w:after="0"/>
              <w:rPr>
                <w:sz w:val="20"/>
                <w:szCs w:val="20"/>
              </w:rPr>
            </w:pPr>
            <w:r w:rsidRPr="0069723B">
              <w:rPr>
                <w:sz w:val="20"/>
                <w:szCs w:val="20"/>
                <w:lang w:val="it-IT"/>
              </w:rPr>
              <w:t>AVIcode Reporting Services Management Pack for</w:t>
            </w:r>
            <w:r w:rsidRPr="0069723B">
              <w:rPr>
                <w:sz w:val="20"/>
                <w:szCs w:val="20"/>
              </w:rPr>
              <w:t xml:space="preserve"> </w:t>
            </w:r>
          </w:p>
          <w:p w:rsidR="00A131A4" w:rsidRPr="0069723B" w:rsidRDefault="00A131A4" w:rsidP="00D13B13">
            <w:pPr>
              <w:spacing w:before="0" w:after="0"/>
              <w:rPr>
                <w:sz w:val="20"/>
                <w:szCs w:val="20"/>
              </w:rPr>
            </w:pPr>
          </w:p>
          <w:p w:rsidR="00A131A4" w:rsidRPr="0069723B" w:rsidRDefault="00A131A4" w:rsidP="00D13B13">
            <w:pPr>
              <w:spacing w:before="0" w:after="0"/>
              <w:rPr>
                <w:sz w:val="20"/>
                <w:szCs w:val="20"/>
              </w:rPr>
            </w:pPr>
            <w:r w:rsidRPr="0069723B">
              <w:rPr>
                <w:sz w:val="20"/>
                <w:szCs w:val="20"/>
                <w:lang w:val="it-IT"/>
              </w:rPr>
              <w:t>Operations Manager 2007 Opalis Integration Server</w:t>
            </w:r>
          </w:p>
          <w:p w:rsidR="00A131A4" w:rsidRPr="0069723B" w:rsidRDefault="00A131A4" w:rsidP="00D13B13">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A131A4" w:rsidRPr="0069723B" w:rsidRDefault="00A131A4" w:rsidP="00D13B13">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A131A4" w:rsidRPr="0069723B" w:rsidRDefault="00A131A4" w:rsidP="00D13B13">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A131A4" w:rsidRPr="0069723B" w:rsidRDefault="00A131A4" w:rsidP="00D13B13">
            <w:pPr>
              <w:tabs>
                <w:tab w:val="left" w:pos="1080"/>
              </w:tabs>
              <w:spacing w:before="0" w:after="0"/>
              <w:ind w:left="1080" w:hanging="1080"/>
              <w:rPr>
                <w:sz w:val="20"/>
                <w:szCs w:val="20"/>
              </w:rPr>
            </w:pPr>
          </w:p>
          <w:p w:rsidR="00A131A4" w:rsidRPr="0069723B" w:rsidRDefault="00A131A4" w:rsidP="00D13B13">
            <w:pPr>
              <w:tabs>
                <w:tab w:val="left" w:pos="1080"/>
              </w:tabs>
              <w:spacing w:before="0" w:after="0"/>
              <w:ind w:left="1080" w:hanging="1080"/>
              <w:rPr>
                <w:sz w:val="20"/>
                <w:szCs w:val="20"/>
              </w:rPr>
            </w:pPr>
            <w:r w:rsidRPr="0069723B">
              <w:rPr>
                <w:sz w:val="20"/>
                <w:szCs w:val="20"/>
                <w:lang w:val="it-IT"/>
              </w:rPr>
              <w:t>Data Protection Manager 2010 Agent</w:t>
            </w:r>
          </w:p>
          <w:p w:rsidR="00A131A4" w:rsidRPr="0069723B" w:rsidRDefault="00A131A4" w:rsidP="00D13B13">
            <w:pPr>
              <w:tabs>
                <w:tab w:val="left" w:pos="-28"/>
              </w:tabs>
              <w:spacing w:before="0" w:after="0"/>
              <w:rPr>
                <w:sz w:val="20"/>
                <w:szCs w:val="20"/>
              </w:rPr>
            </w:pPr>
            <w:r w:rsidRPr="0069723B">
              <w:rPr>
                <w:sz w:val="20"/>
                <w:szCs w:val="20"/>
                <w:lang w:val="it-IT"/>
              </w:rPr>
              <w:t>Data Protection Manager Remote Command-Line</w:t>
            </w:r>
            <w:r w:rsidRPr="0069723B">
              <w:rPr>
                <w:sz w:val="20"/>
                <w:szCs w:val="20"/>
              </w:rPr>
              <w:t xml:space="preserve"> </w:t>
            </w:r>
          </w:p>
          <w:p w:rsidR="00A131A4" w:rsidRPr="0069723B" w:rsidRDefault="00A131A4" w:rsidP="00D13B13">
            <w:pPr>
              <w:tabs>
                <w:tab w:val="left" w:pos="1080"/>
              </w:tabs>
              <w:spacing w:before="0" w:after="0"/>
              <w:ind w:left="1080" w:hanging="1080"/>
              <w:rPr>
                <w:sz w:val="20"/>
                <w:szCs w:val="20"/>
              </w:rPr>
            </w:pPr>
          </w:p>
        </w:tc>
      </w:tr>
    </w:tbl>
    <w:p w:rsidR="00A131A4" w:rsidRPr="0069723B" w:rsidRDefault="00A131A4" w:rsidP="00A131A4">
      <w:pPr>
        <w:spacing w:before="0" w:after="0"/>
        <w:rPr>
          <w:sz w:val="20"/>
          <w:szCs w:val="20"/>
        </w:rPr>
      </w:pPr>
    </w:p>
    <w:p w:rsidR="00A131A4" w:rsidRPr="00AD704B" w:rsidRDefault="00A131A4" w:rsidP="00A131A4">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Pr="00AD704B">
        <w:rPr>
          <w:sz w:val="20"/>
          <w:szCs w:val="20"/>
        </w:rPr>
        <w:t xml:space="preserve"> </w:t>
      </w:r>
    </w:p>
    <w:p w:rsidR="00A131A4" w:rsidRPr="00AD704B" w:rsidRDefault="00A131A4" w:rsidP="00A131A4">
      <w:pPr>
        <w:spacing w:before="0" w:after="0"/>
      </w:pPr>
    </w:p>
    <w:p w:rsidR="00A131A4" w:rsidRPr="00AD704B" w:rsidRDefault="00A131A4" w:rsidP="00A131A4"/>
    <w:p w:rsidR="00266466" w:rsidRDefault="00266466"/>
    <w:sectPr w:rsidR="00266466" w:rsidSect="007A1310">
      <w:footerReference w:type="default" r:id="rId8"/>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1A4" w:rsidRDefault="00A131A4" w:rsidP="00A131A4">
      <w:pPr>
        <w:spacing w:before="0" w:after="0"/>
      </w:pPr>
      <w:r>
        <w:separator/>
      </w:r>
    </w:p>
  </w:endnote>
  <w:endnote w:type="continuationSeparator" w:id="0">
    <w:p w:rsidR="00A131A4" w:rsidRDefault="00A131A4" w:rsidP="00A131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783003"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783003"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Pr>
              <w:rFonts w:eastAsia="Calibri"/>
              <w:noProof/>
            </w:rPr>
            <w:t>2</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Pr>
              <w:rFonts w:eastAsia="Calibri"/>
              <w:noProof/>
            </w:rPr>
            <w:t>2</w:t>
          </w:r>
          <w:r w:rsidRPr="00E0317E">
            <w:rPr>
              <w:rFonts w:eastAsia="Calibri"/>
            </w:rPr>
            <w:fldChar w:fldCharType="end"/>
          </w:r>
        </w:p>
      </w:tc>
    </w:tr>
  </w:tbl>
  <w:p w:rsidR="00DF2644" w:rsidRDefault="00783003"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1A4" w:rsidRDefault="00A131A4" w:rsidP="00A131A4">
      <w:pPr>
        <w:spacing w:before="0" w:after="0"/>
      </w:pPr>
      <w:r>
        <w:separator/>
      </w:r>
    </w:p>
  </w:footnote>
  <w:footnote w:type="continuationSeparator" w:id="0">
    <w:p w:rsidR="00A131A4" w:rsidRDefault="00A131A4" w:rsidP="00A131A4">
      <w:pPr>
        <w:spacing w:before="0" w:after="0"/>
      </w:pPr>
      <w:r>
        <w:continuationSeparator/>
      </w:r>
    </w:p>
  </w:footnote>
  <w:footnote w:id="1">
    <w:p w:rsidR="00A131A4" w:rsidRPr="0012505D" w:rsidRDefault="00A131A4" w:rsidP="00A131A4">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A131A4" w:rsidRPr="00AD704B" w:rsidRDefault="00A131A4" w:rsidP="00A131A4">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DZlLf4wg2Bgdpn/vy1upsxylfxF4rxb63pTbqQZUFrfQh6bAEAp1yb+bv8cQ6Q81EbPnHy7F6JRUiuO67otbgw==" w:salt="xJAPNX8Lr2fwRRvstW+u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A4"/>
    <w:rsid w:val="00266466"/>
    <w:rsid w:val="00783003"/>
    <w:rsid w:val="00A13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C86AD-38B4-4EE6-A364-1F24FB79E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1A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A131A4"/>
    <w:pPr>
      <w:numPr>
        <w:numId w:val="4"/>
      </w:numPr>
      <w:outlineLvl w:val="0"/>
    </w:pPr>
    <w:rPr>
      <w:rFonts w:cs="Times New Roman"/>
      <w:b/>
      <w:szCs w:val="20"/>
    </w:rPr>
  </w:style>
  <w:style w:type="paragraph" w:styleId="Heading2">
    <w:name w:val="heading 2"/>
    <w:basedOn w:val="Normal"/>
    <w:link w:val="Heading2Char"/>
    <w:uiPriority w:val="9"/>
    <w:qFormat/>
    <w:rsid w:val="00A131A4"/>
    <w:pPr>
      <w:numPr>
        <w:ilvl w:val="1"/>
        <w:numId w:val="4"/>
      </w:numPr>
      <w:outlineLvl w:val="1"/>
    </w:pPr>
    <w:rPr>
      <w:rFonts w:cs="Times New Roman"/>
      <w:b/>
      <w:bCs/>
    </w:rPr>
  </w:style>
  <w:style w:type="paragraph" w:styleId="Heading3">
    <w:name w:val="heading 3"/>
    <w:basedOn w:val="Normal"/>
    <w:link w:val="Heading3Char"/>
    <w:uiPriority w:val="9"/>
    <w:qFormat/>
    <w:rsid w:val="00A131A4"/>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A131A4"/>
    <w:pPr>
      <w:numPr>
        <w:ilvl w:val="3"/>
        <w:numId w:val="4"/>
      </w:numPr>
      <w:outlineLvl w:val="3"/>
    </w:pPr>
    <w:rPr>
      <w:rFonts w:cs="Times New Roman"/>
      <w:szCs w:val="20"/>
    </w:rPr>
  </w:style>
  <w:style w:type="paragraph" w:styleId="Heading5">
    <w:name w:val="heading 5"/>
    <w:basedOn w:val="Normal"/>
    <w:link w:val="Heading5Char"/>
    <w:uiPriority w:val="9"/>
    <w:qFormat/>
    <w:rsid w:val="00A131A4"/>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A131A4"/>
    <w:pPr>
      <w:numPr>
        <w:ilvl w:val="5"/>
        <w:numId w:val="4"/>
      </w:numPr>
      <w:outlineLvl w:val="5"/>
    </w:pPr>
    <w:rPr>
      <w:rFonts w:cs="Times New Roman"/>
      <w:szCs w:val="20"/>
    </w:rPr>
  </w:style>
  <w:style w:type="paragraph" w:styleId="Heading7">
    <w:name w:val="heading 7"/>
    <w:basedOn w:val="Normal"/>
    <w:link w:val="Heading7Char"/>
    <w:uiPriority w:val="9"/>
    <w:qFormat/>
    <w:rsid w:val="00A131A4"/>
    <w:pPr>
      <w:numPr>
        <w:ilvl w:val="6"/>
        <w:numId w:val="4"/>
      </w:numPr>
      <w:outlineLvl w:val="6"/>
    </w:pPr>
    <w:rPr>
      <w:rFonts w:cs="Times New Roman"/>
      <w:szCs w:val="20"/>
    </w:rPr>
  </w:style>
  <w:style w:type="paragraph" w:styleId="Heading8">
    <w:name w:val="heading 8"/>
    <w:basedOn w:val="Normal"/>
    <w:link w:val="Heading8Char"/>
    <w:uiPriority w:val="9"/>
    <w:qFormat/>
    <w:rsid w:val="00A131A4"/>
    <w:pPr>
      <w:numPr>
        <w:ilvl w:val="7"/>
        <w:numId w:val="4"/>
      </w:numPr>
      <w:outlineLvl w:val="7"/>
    </w:pPr>
    <w:rPr>
      <w:rFonts w:cs="Times New Roman"/>
      <w:szCs w:val="20"/>
    </w:rPr>
  </w:style>
  <w:style w:type="paragraph" w:styleId="Heading9">
    <w:name w:val="heading 9"/>
    <w:basedOn w:val="Normal"/>
    <w:link w:val="Heading9Char"/>
    <w:uiPriority w:val="9"/>
    <w:qFormat/>
    <w:rsid w:val="00A131A4"/>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1A4"/>
    <w:rPr>
      <w:rFonts w:ascii="Tahoma" w:eastAsia="MS Mincho" w:hAnsi="Tahoma" w:cs="Times New Roman"/>
      <w:b/>
      <w:sz w:val="19"/>
      <w:szCs w:val="20"/>
    </w:rPr>
  </w:style>
  <w:style w:type="character" w:customStyle="1" w:styleId="Heading2Char">
    <w:name w:val="Heading 2 Char"/>
    <w:basedOn w:val="DefaultParagraphFont"/>
    <w:link w:val="Heading2"/>
    <w:uiPriority w:val="9"/>
    <w:rsid w:val="00A131A4"/>
    <w:rPr>
      <w:rFonts w:ascii="Tahoma" w:eastAsia="MS Mincho" w:hAnsi="Tahoma" w:cs="Times New Roman"/>
      <w:b/>
      <w:bCs/>
      <w:sz w:val="19"/>
      <w:szCs w:val="19"/>
    </w:rPr>
  </w:style>
  <w:style w:type="character" w:customStyle="1" w:styleId="Heading3Char">
    <w:name w:val="Heading 3 Char"/>
    <w:basedOn w:val="DefaultParagraphFont"/>
    <w:link w:val="Heading3"/>
    <w:uiPriority w:val="9"/>
    <w:rsid w:val="00A131A4"/>
    <w:rPr>
      <w:rFonts w:ascii="Tahoma" w:eastAsia="MS Mincho" w:hAnsi="Tahoma" w:cs="Times New Roman"/>
      <w:sz w:val="19"/>
      <w:szCs w:val="20"/>
    </w:rPr>
  </w:style>
  <w:style w:type="character" w:customStyle="1" w:styleId="Heading4Char">
    <w:name w:val="Heading 4 Char"/>
    <w:basedOn w:val="DefaultParagraphFont"/>
    <w:link w:val="Heading4"/>
    <w:uiPriority w:val="9"/>
    <w:rsid w:val="00A131A4"/>
    <w:rPr>
      <w:rFonts w:ascii="Tahoma" w:eastAsia="MS Mincho" w:hAnsi="Tahoma" w:cs="Times New Roman"/>
      <w:sz w:val="19"/>
      <w:szCs w:val="20"/>
    </w:rPr>
  </w:style>
  <w:style w:type="character" w:customStyle="1" w:styleId="Heading5Char">
    <w:name w:val="Heading 5 Char"/>
    <w:basedOn w:val="DefaultParagraphFont"/>
    <w:link w:val="Heading5"/>
    <w:uiPriority w:val="9"/>
    <w:rsid w:val="00A131A4"/>
    <w:rPr>
      <w:rFonts w:ascii="Tahoma" w:eastAsia="MS Mincho" w:hAnsi="Tahoma" w:cs="Times New Roman"/>
      <w:sz w:val="19"/>
      <w:szCs w:val="20"/>
    </w:rPr>
  </w:style>
  <w:style w:type="character" w:customStyle="1" w:styleId="Heading6Char">
    <w:name w:val="Heading 6 Char"/>
    <w:basedOn w:val="DefaultParagraphFont"/>
    <w:link w:val="Heading6"/>
    <w:uiPriority w:val="9"/>
    <w:rsid w:val="00A131A4"/>
    <w:rPr>
      <w:rFonts w:ascii="Tahoma" w:eastAsia="MS Mincho" w:hAnsi="Tahoma" w:cs="Times New Roman"/>
      <w:sz w:val="19"/>
      <w:szCs w:val="20"/>
    </w:rPr>
  </w:style>
  <w:style w:type="character" w:customStyle="1" w:styleId="Heading7Char">
    <w:name w:val="Heading 7 Char"/>
    <w:basedOn w:val="DefaultParagraphFont"/>
    <w:link w:val="Heading7"/>
    <w:uiPriority w:val="9"/>
    <w:rsid w:val="00A131A4"/>
    <w:rPr>
      <w:rFonts w:ascii="Tahoma" w:eastAsia="MS Mincho" w:hAnsi="Tahoma" w:cs="Times New Roman"/>
      <w:sz w:val="19"/>
      <w:szCs w:val="20"/>
    </w:rPr>
  </w:style>
  <w:style w:type="character" w:customStyle="1" w:styleId="Heading8Char">
    <w:name w:val="Heading 8 Char"/>
    <w:basedOn w:val="DefaultParagraphFont"/>
    <w:link w:val="Heading8"/>
    <w:uiPriority w:val="9"/>
    <w:rsid w:val="00A131A4"/>
    <w:rPr>
      <w:rFonts w:ascii="Tahoma" w:eastAsia="MS Mincho" w:hAnsi="Tahoma" w:cs="Times New Roman"/>
      <w:sz w:val="19"/>
      <w:szCs w:val="20"/>
    </w:rPr>
  </w:style>
  <w:style w:type="character" w:customStyle="1" w:styleId="Heading9Char">
    <w:name w:val="Heading 9 Char"/>
    <w:basedOn w:val="DefaultParagraphFont"/>
    <w:link w:val="Heading9"/>
    <w:uiPriority w:val="9"/>
    <w:rsid w:val="00A131A4"/>
    <w:rPr>
      <w:rFonts w:ascii="Tahoma" w:eastAsia="MS Mincho" w:hAnsi="Tahoma" w:cs="Times New Roman"/>
      <w:sz w:val="19"/>
      <w:szCs w:val="20"/>
    </w:rPr>
  </w:style>
  <w:style w:type="character" w:customStyle="1" w:styleId="Body1Char1">
    <w:name w:val="Body 1 Char1"/>
    <w:link w:val="Body1"/>
    <w:uiPriority w:val="99"/>
    <w:locked/>
    <w:rsid w:val="00A131A4"/>
    <w:rPr>
      <w:rFonts w:ascii="Tahoma" w:hAnsi="Tahoma"/>
      <w:sz w:val="19"/>
    </w:rPr>
  </w:style>
  <w:style w:type="paragraph" w:customStyle="1" w:styleId="Body1">
    <w:name w:val="Body 1"/>
    <w:basedOn w:val="Normal"/>
    <w:link w:val="Body1Char1"/>
    <w:uiPriority w:val="99"/>
    <w:rsid w:val="00A131A4"/>
    <w:pPr>
      <w:ind w:left="357"/>
    </w:pPr>
    <w:rPr>
      <w:rFonts w:eastAsiaTheme="minorHAnsi" w:cstheme="minorBidi"/>
      <w:szCs w:val="22"/>
    </w:rPr>
  </w:style>
  <w:style w:type="paragraph" w:customStyle="1" w:styleId="Body2">
    <w:name w:val="Body 2"/>
    <w:basedOn w:val="Normal"/>
    <w:uiPriority w:val="99"/>
    <w:rsid w:val="00A131A4"/>
    <w:pPr>
      <w:ind w:left="720"/>
    </w:pPr>
  </w:style>
  <w:style w:type="paragraph" w:customStyle="1" w:styleId="Body3">
    <w:name w:val="Body 3"/>
    <w:basedOn w:val="Normal"/>
    <w:uiPriority w:val="99"/>
    <w:rsid w:val="00A131A4"/>
    <w:pPr>
      <w:ind w:left="1077"/>
    </w:pPr>
  </w:style>
  <w:style w:type="paragraph" w:customStyle="1" w:styleId="Bullet2">
    <w:name w:val="Bullet 2"/>
    <w:basedOn w:val="Normal"/>
    <w:uiPriority w:val="99"/>
    <w:rsid w:val="00A131A4"/>
  </w:style>
  <w:style w:type="paragraph" w:customStyle="1" w:styleId="Bullet3">
    <w:name w:val="Bullet 3"/>
    <w:basedOn w:val="Normal"/>
    <w:link w:val="Bullet3Char1"/>
    <w:uiPriority w:val="99"/>
    <w:rsid w:val="00A131A4"/>
    <w:pPr>
      <w:numPr>
        <w:numId w:val="1"/>
      </w:numPr>
    </w:pPr>
    <w:rPr>
      <w:rFonts w:cs="Times New Roman"/>
      <w:szCs w:val="20"/>
    </w:rPr>
  </w:style>
  <w:style w:type="paragraph" w:customStyle="1" w:styleId="Bullet4">
    <w:name w:val="Bullet 4"/>
    <w:basedOn w:val="Normal"/>
    <w:uiPriority w:val="99"/>
    <w:rsid w:val="00A131A4"/>
    <w:pPr>
      <w:numPr>
        <w:numId w:val="2"/>
      </w:numPr>
    </w:pPr>
  </w:style>
  <w:style w:type="paragraph" w:customStyle="1" w:styleId="Bullet5">
    <w:name w:val="Bullet 5"/>
    <w:basedOn w:val="Normal"/>
    <w:uiPriority w:val="99"/>
    <w:rsid w:val="00A131A4"/>
    <w:pPr>
      <w:numPr>
        <w:numId w:val="3"/>
      </w:numPr>
    </w:pPr>
  </w:style>
  <w:style w:type="paragraph" w:customStyle="1" w:styleId="Preamble">
    <w:name w:val="Preamble"/>
    <w:basedOn w:val="Normal"/>
    <w:uiPriority w:val="99"/>
    <w:rsid w:val="00A131A4"/>
    <w:rPr>
      <w:b/>
      <w:bCs/>
    </w:rPr>
  </w:style>
  <w:style w:type="paragraph" w:customStyle="1" w:styleId="Heading3Bold">
    <w:name w:val="Heading 3 Bold"/>
    <w:basedOn w:val="Heading3"/>
    <w:uiPriority w:val="99"/>
    <w:rsid w:val="00A131A4"/>
    <w:pPr>
      <w:numPr>
        <w:numId w:val="5"/>
      </w:numPr>
    </w:pPr>
    <w:rPr>
      <w:b/>
      <w:bCs/>
    </w:rPr>
  </w:style>
  <w:style w:type="paragraph" w:customStyle="1" w:styleId="Body2Underline">
    <w:name w:val="Body 2 Underline"/>
    <w:basedOn w:val="Body2"/>
    <w:uiPriority w:val="99"/>
    <w:rsid w:val="00A131A4"/>
    <w:rPr>
      <w:u w:val="single"/>
    </w:rPr>
  </w:style>
  <w:style w:type="character" w:styleId="Hyperlink">
    <w:name w:val="Hyperlink"/>
    <w:uiPriority w:val="99"/>
    <w:rsid w:val="00A131A4"/>
    <w:rPr>
      <w:color w:val="0000FF"/>
      <w:u w:val="single"/>
    </w:rPr>
  </w:style>
  <w:style w:type="paragraph" w:customStyle="1" w:styleId="Bullet4Underlined">
    <w:name w:val="Bullet 4 Underlined"/>
    <w:basedOn w:val="Bullet4"/>
    <w:uiPriority w:val="99"/>
    <w:rsid w:val="00A131A4"/>
    <w:rPr>
      <w:u w:val="single"/>
    </w:rPr>
  </w:style>
  <w:style w:type="paragraph" w:customStyle="1" w:styleId="Bullet4Underline">
    <w:name w:val="Bullet 4 Underline"/>
    <w:basedOn w:val="Bullet4"/>
    <w:uiPriority w:val="99"/>
    <w:rsid w:val="00A131A4"/>
    <w:pPr>
      <w:numPr>
        <w:numId w:val="0"/>
      </w:numPr>
    </w:pPr>
    <w:rPr>
      <w:u w:val="single"/>
    </w:rPr>
  </w:style>
  <w:style w:type="paragraph" w:styleId="Footer">
    <w:name w:val="footer"/>
    <w:basedOn w:val="Normal"/>
    <w:link w:val="FooterChar"/>
    <w:uiPriority w:val="99"/>
    <w:rsid w:val="00A131A4"/>
    <w:pPr>
      <w:tabs>
        <w:tab w:val="center" w:pos="4320"/>
        <w:tab w:val="right" w:pos="8640"/>
      </w:tabs>
    </w:pPr>
    <w:rPr>
      <w:rFonts w:cs="Times New Roman"/>
      <w:szCs w:val="20"/>
    </w:rPr>
  </w:style>
  <w:style w:type="character" w:customStyle="1" w:styleId="FooterChar">
    <w:name w:val="Footer Char"/>
    <w:basedOn w:val="DefaultParagraphFont"/>
    <w:link w:val="Footer"/>
    <w:uiPriority w:val="99"/>
    <w:rsid w:val="00A131A4"/>
    <w:rPr>
      <w:rFonts w:ascii="Tahoma" w:eastAsia="MS Mincho" w:hAnsi="Tahoma" w:cs="Times New Roman"/>
      <w:sz w:val="19"/>
      <w:szCs w:val="20"/>
    </w:rPr>
  </w:style>
  <w:style w:type="character" w:customStyle="1" w:styleId="Bullet3Char1">
    <w:name w:val="Bullet 3 Char1"/>
    <w:link w:val="Bullet3"/>
    <w:uiPriority w:val="99"/>
    <w:locked/>
    <w:rsid w:val="00A131A4"/>
    <w:rPr>
      <w:rFonts w:ascii="Tahoma" w:eastAsia="MS Mincho" w:hAnsi="Tahoma" w:cs="Times New Roman"/>
      <w:sz w:val="19"/>
      <w:szCs w:val="20"/>
    </w:rPr>
  </w:style>
  <w:style w:type="paragraph" w:styleId="ListParagraph">
    <w:name w:val="List Paragraph"/>
    <w:basedOn w:val="Normal"/>
    <w:uiPriority w:val="34"/>
    <w:qFormat/>
    <w:rsid w:val="00A131A4"/>
    <w:pPr>
      <w:ind w:left="720"/>
      <w:contextualSpacing/>
    </w:pPr>
  </w:style>
  <w:style w:type="paragraph" w:customStyle="1" w:styleId="ClosingL3">
    <w:name w:val="Closing_L3"/>
    <w:basedOn w:val="Normal"/>
    <w:rsid w:val="00A131A4"/>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A131A4"/>
    <w:pPr>
      <w:spacing w:after="0"/>
    </w:pPr>
    <w:rPr>
      <w:rFonts w:eastAsia="Times New Roman" w:cs="Times New Roman"/>
      <w:b/>
      <w:bCs/>
      <w:sz w:val="16"/>
      <w:szCs w:val="16"/>
    </w:rPr>
  </w:style>
  <w:style w:type="character" w:styleId="FootnoteReference">
    <w:name w:val="footnote reference"/>
    <w:uiPriority w:val="99"/>
    <w:semiHidden/>
    <w:unhideWhenUsed/>
    <w:rsid w:val="00A131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5595</Words>
  <Characters>31893</Characters>
  <Application>Microsoft Office Word</Application>
  <DocSecurity>0</DocSecurity>
  <Lines>265</Lines>
  <Paragraphs>74</Paragraphs>
  <ScaleCrop>false</ScaleCrop>
  <Company/>
  <LinksUpToDate>false</LinksUpToDate>
  <CharactersWithSpaces>37414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